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8A4" w:rsidRDefault="000A78A4" w:rsidP="000A78A4">
      <w:pPr>
        <w:jc w:val="center"/>
        <w:rPr>
          <w:b/>
          <w:u w:val="single"/>
        </w:rPr>
      </w:pPr>
      <w:r>
        <w:rPr>
          <w:b/>
          <w:u w:val="single"/>
        </w:rPr>
        <w:t xml:space="preserve">OCB AWARD NUMBER: </w:t>
      </w:r>
    </w:p>
    <w:p w:rsidR="000A78A4" w:rsidRDefault="000A78A4" w:rsidP="000A78A4">
      <w:pPr>
        <w:jc w:val="center"/>
      </w:pPr>
    </w:p>
    <w:tbl>
      <w:tblPr>
        <w:tblW w:w="9864" w:type="dxa"/>
        <w:tblLayout w:type="fixed"/>
        <w:tblLook w:val="0000" w:firstRow="0" w:lastRow="0" w:firstColumn="0" w:lastColumn="0" w:noHBand="0" w:noVBand="0"/>
      </w:tblPr>
      <w:tblGrid>
        <w:gridCol w:w="3708"/>
        <w:gridCol w:w="6156"/>
      </w:tblGrid>
      <w:tr w:rsidR="000A78A4" w:rsidTr="000A78A4">
        <w:tc>
          <w:tcPr>
            <w:tcW w:w="3708" w:type="dxa"/>
          </w:tcPr>
          <w:p w:rsidR="000A78A4" w:rsidRDefault="000A78A4" w:rsidP="009007EE">
            <w:r>
              <w:rPr>
                <w:b/>
              </w:rPr>
              <w:t>SUBJECT:</w:t>
            </w:r>
          </w:p>
        </w:tc>
        <w:tc>
          <w:tcPr>
            <w:tcW w:w="6156" w:type="dxa"/>
          </w:tcPr>
          <w:p w:rsidR="000A78A4" w:rsidRPr="009F1748" w:rsidRDefault="000A78A4" w:rsidP="009F1748">
            <w:r w:rsidRPr="009F1748">
              <w:t>Arb Summary #</w:t>
            </w:r>
            <w:r w:rsidR="009F1748" w:rsidRPr="009F1748">
              <w:t>2511</w:t>
            </w:r>
          </w:p>
        </w:tc>
      </w:tr>
      <w:tr w:rsidR="000A78A4" w:rsidTr="000A78A4">
        <w:tc>
          <w:tcPr>
            <w:tcW w:w="3708" w:type="dxa"/>
          </w:tcPr>
          <w:p w:rsidR="000A78A4" w:rsidRDefault="000A78A4" w:rsidP="009007EE">
            <w:pPr>
              <w:rPr>
                <w:b/>
              </w:rPr>
            </w:pPr>
            <w:r>
              <w:rPr>
                <w:b/>
              </w:rPr>
              <w:t>TO:</w:t>
            </w:r>
          </w:p>
        </w:tc>
        <w:tc>
          <w:tcPr>
            <w:tcW w:w="6156" w:type="dxa"/>
          </w:tcPr>
          <w:p w:rsidR="000A78A4" w:rsidRPr="000A78A4" w:rsidRDefault="000A78A4" w:rsidP="009007EE">
            <w:r>
              <w:t>All Advocates</w:t>
            </w:r>
          </w:p>
        </w:tc>
      </w:tr>
      <w:tr w:rsidR="000A78A4" w:rsidTr="000A78A4">
        <w:tc>
          <w:tcPr>
            <w:tcW w:w="3708" w:type="dxa"/>
          </w:tcPr>
          <w:p w:rsidR="000A78A4" w:rsidRDefault="000A78A4" w:rsidP="009007EE">
            <w:pPr>
              <w:rPr>
                <w:b/>
              </w:rPr>
            </w:pPr>
            <w:r>
              <w:rPr>
                <w:b/>
              </w:rPr>
              <w:t>FROM:</w:t>
            </w:r>
          </w:p>
        </w:tc>
        <w:tc>
          <w:tcPr>
            <w:tcW w:w="6156" w:type="dxa"/>
          </w:tcPr>
          <w:p w:rsidR="000A78A4" w:rsidRPr="000A78A4" w:rsidRDefault="000A78A4" w:rsidP="009007EE">
            <w:r>
              <w:t>Megan Schenk</w:t>
            </w:r>
          </w:p>
        </w:tc>
      </w:tr>
      <w:tr w:rsidR="000A78A4" w:rsidTr="000A78A4">
        <w:tc>
          <w:tcPr>
            <w:tcW w:w="3708" w:type="dxa"/>
          </w:tcPr>
          <w:p w:rsidR="000A78A4" w:rsidRDefault="000A78A4" w:rsidP="009007EE">
            <w:pPr>
              <w:rPr>
                <w:b/>
              </w:rPr>
            </w:pPr>
            <w:r>
              <w:rPr>
                <w:b/>
              </w:rPr>
              <w:t>OCB GRIEVANCE NUMBER:</w:t>
            </w:r>
          </w:p>
        </w:tc>
        <w:tc>
          <w:tcPr>
            <w:tcW w:w="6156" w:type="dxa"/>
          </w:tcPr>
          <w:p w:rsidR="000A78A4" w:rsidRPr="000A78A4" w:rsidRDefault="000A78A4" w:rsidP="009007EE">
            <w:r w:rsidRPr="000A78A4">
              <w:t>DRC-2014-39519-3</w:t>
            </w:r>
          </w:p>
        </w:tc>
      </w:tr>
      <w:tr w:rsidR="000A78A4" w:rsidTr="000A78A4">
        <w:tc>
          <w:tcPr>
            <w:tcW w:w="3708" w:type="dxa"/>
          </w:tcPr>
          <w:p w:rsidR="000A78A4" w:rsidRDefault="000A78A4" w:rsidP="009007EE">
            <w:pPr>
              <w:rPr>
                <w:b/>
              </w:rPr>
            </w:pPr>
            <w:r>
              <w:rPr>
                <w:b/>
              </w:rPr>
              <w:t>DEPARTMENT:</w:t>
            </w:r>
          </w:p>
        </w:tc>
        <w:tc>
          <w:tcPr>
            <w:tcW w:w="6156" w:type="dxa"/>
          </w:tcPr>
          <w:p w:rsidR="000A78A4" w:rsidRDefault="000A78A4" w:rsidP="009007EE">
            <w:pPr>
              <w:ind w:left="432" w:hanging="432"/>
            </w:pPr>
            <w:r>
              <w:t>DRC</w:t>
            </w:r>
          </w:p>
        </w:tc>
      </w:tr>
      <w:tr w:rsidR="000A78A4" w:rsidTr="000A78A4">
        <w:tc>
          <w:tcPr>
            <w:tcW w:w="3708" w:type="dxa"/>
          </w:tcPr>
          <w:p w:rsidR="000A78A4" w:rsidRDefault="000A78A4" w:rsidP="009007EE">
            <w:pPr>
              <w:rPr>
                <w:b/>
              </w:rPr>
            </w:pPr>
            <w:smartTag w:uri="urn:schemas-microsoft-com:office:smarttags" w:element="place">
              <w:r>
                <w:rPr>
                  <w:b/>
                </w:rPr>
                <w:t>UNION</w:t>
              </w:r>
            </w:smartTag>
            <w:r>
              <w:rPr>
                <w:b/>
              </w:rPr>
              <w:t>:</w:t>
            </w:r>
          </w:p>
        </w:tc>
        <w:tc>
          <w:tcPr>
            <w:tcW w:w="6156" w:type="dxa"/>
          </w:tcPr>
          <w:p w:rsidR="000A78A4" w:rsidRDefault="000A78A4" w:rsidP="009007EE">
            <w:pPr>
              <w:ind w:left="432" w:hanging="432"/>
            </w:pPr>
            <w:r>
              <w:t>OCSEA</w:t>
            </w:r>
          </w:p>
        </w:tc>
      </w:tr>
      <w:tr w:rsidR="000A78A4" w:rsidTr="000A78A4">
        <w:tc>
          <w:tcPr>
            <w:tcW w:w="3708" w:type="dxa"/>
          </w:tcPr>
          <w:p w:rsidR="000A78A4" w:rsidRDefault="000A78A4" w:rsidP="009007EE">
            <w:pPr>
              <w:rPr>
                <w:b/>
              </w:rPr>
            </w:pPr>
            <w:r>
              <w:rPr>
                <w:b/>
              </w:rPr>
              <w:t>ARBITRATOR:</w:t>
            </w:r>
          </w:p>
        </w:tc>
        <w:tc>
          <w:tcPr>
            <w:tcW w:w="6156" w:type="dxa"/>
          </w:tcPr>
          <w:p w:rsidR="000A78A4" w:rsidRDefault="000A78A4" w:rsidP="009007EE">
            <w:pPr>
              <w:ind w:left="432" w:hanging="432"/>
            </w:pPr>
            <w:r>
              <w:t>Sarah Cole</w:t>
            </w:r>
          </w:p>
        </w:tc>
      </w:tr>
      <w:tr w:rsidR="000A78A4" w:rsidTr="000A78A4">
        <w:tc>
          <w:tcPr>
            <w:tcW w:w="3708" w:type="dxa"/>
          </w:tcPr>
          <w:p w:rsidR="000A78A4" w:rsidRDefault="000A78A4" w:rsidP="009007EE">
            <w:pPr>
              <w:rPr>
                <w:b/>
              </w:rPr>
            </w:pPr>
            <w:r>
              <w:rPr>
                <w:b/>
              </w:rPr>
              <w:t>GRIEVANT NAME:</w:t>
            </w:r>
          </w:p>
        </w:tc>
        <w:tc>
          <w:tcPr>
            <w:tcW w:w="6156" w:type="dxa"/>
          </w:tcPr>
          <w:p w:rsidR="000A78A4" w:rsidRDefault="000A78A4" w:rsidP="009007EE">
            <w:pPr>
              <w:ind w:left="432" w:hanging="432"/>
            </w:pPr>
            <w:r>
              <w:t>Evan Nephew</w:t>
            </w:r>
          </w:p>
        </w:tc>
      </w:tr>
      <w:tr w:rsidR="000A78A4" w:rsidTr="000A78A4">
        <w:tc>
          <w:tcPr>
            <w:tcW w:w="3708" w:type="dxa"/>
          </w:tcPr>
          <w:p w:rsidR="000A78A4" w:rsidRDefault="000A78A4" w:rsidP="009007EE">
            <w:pPr>
              <w:rPr>
                <w:b/>
              </w:rPr>
            </w:pPr>
            <w:r>
              <w:rPr>
                <w:b/>
              </w:rPr>
              <w:t>MANAGEMENT ADVOCATE:</w:t>
            </w:r>
          </w:p>
        </w:tc>
        <w:tc>
          <w:tcPr>
            <w:tcW w:w="6156" w:type="dxa"/>
          </w:tcPr>
          <w:p w:rsidR="000A78A4" w:rsidRDefault="000A78A4" w:rsidP="009007EE">
            <w:pPr>
              <w:ind w:left="432" w:hanging="432"/>
            </w:pPr>
            <w:r>
              <w:t>Garland “Eddie” Wallace</w:t>
            </w:r>
          </w:p>
        </w:tc>
      </w:tr>
      <w:tr w:rsidR="000A78A4" w:rsidTr="000A78A4">
        <w:trPr>
          <w:trHeight w:val="80"/>
        </w:trPr>
        <w:tc>
          <w:tcPr>
            <w:tcW w:w="3708" w:type="dxa"/>
          </w:tcPr>
          <w:p w:rsidR="000A78A4" w:rsidRDefault="000A78A4" w:rsidP="009007EE">
            <w:pPr>
              <w:rPr>
                <w:b/>
              </w:rPr>
            </w:pPr>
            <w:r>
              <w:rPr>
                <w:b/>
              </w:rPr>
              <w:t>UNION ADVOCATE:</w:t>
            </w:r>
          </w:p>
        </w:tc>
        <w:tc>
          <w:tcPr>
            <w:tcW w:w="6156" w:type="dxa"/>
          </w:tcPr>
          <w:p w:rsidR="000A78A4" w:rsidRDefault="000A78A4" w:rsidP="009007EE">
            <w:pPr>
              <w:ind w:left="432" w:hanging="432"/>
            </w:pPr>
            <w:r>
              <w:t xml:space="preserve">James </w:t>
            </w:r>
            <w:proofErr w:type="spellStart"/>
            <w:r>
              <w:t>Hauenstein</w:t>
            </w:r>
            <w:proofErr w:type="spellEnd"/>
          </w:p>
        </w:tc>
      </w:tr>
      <w:tr w:rsidR="000A78A4" w:rsidTr="000A78A4">
        <w:tc>
          <w:tcPr>
            <w:tcW w:w="3708" w:type="dxa"/>
          </w:tcPr>
          <w:p w:rsidR="000A78A4" w:rsidRDefault="000A78A4" w:rsidP="009007EE">
            <w:pPr>
              <w:rPr>
                <w:b/>
              </w:rPr>
            </w:pPr>
            <w:r>
              <w:rPr>
                <w:b/>
              </w:rPr>
              <w:t>ARBITRATION DATE:</w:t>
            </w:r>
          </w:p>
        </w:tc>
        <w:tc>
          <w:tcPr>
            <w:tcW w:w="6156" w:type="dxa"/>
          </w:tcPr>
          <w:p w:rsidR="000A78A4" w:rsidRDefault="000A78A4" w:rsidP="009007EE">
            <w:pPr>
              <w:ind w:left="432" w:hanging="432"/>
            </w:pPr>
            <w:r>
              <w:t>January 13, 2016 &amp; March 16, 2016</w:t>
            </w:r>
          </w:p>
        </w:tc>
      </w:tr>
      <w:tr w:rsidR="000A78A4" w:rsidTr="000A78A4">
        <w:tc>
          <w:tcPr>
            <w:tcW w:w="3708" w:type="dxa"/>
          </w:tcPr>
          <w:p w:rsidR="000A78A4" w:rsidRDefault="000A78A4" w:rsidP="009007EE">
            <w:pPr>
              <w:rPr>
                <w:b/>
              </w:rPr>
            </w:pPr>
            <w:r>
              <w:rPr>
                <w:b/>
              </w:rPr>
              <w:t>DECISION DATE:</w:t>
            </w:r>
          </w:p>
        </w:tc>
        <w:tc>
          <w:tcPr>
            <w:tcW w:w="6156" w:type="dxa"/>
          </w:tcPr>
          <w:p w:rsidR="000A78A4" w:rsidRDefault="000A78A4" w:rsidP="009007EE">
            <w:pPr>
              <w:ind w:left="432" w:hanging="432"/>
            </w:pPr>
            <w:r>
              <w:t>May 5, 2016</w:t>
            </w:r>
          </w:p>
        </w:tc>
      </w:tr>
      <w:tr w:rsidR="000A78A4" w:rsidTr="000A78A4">
        <w:tc>
          <w:tcPr>
            <w:tcW w:w="3708" w:type="dxa"/>
          </w:tcPr>
          <w:p w:rsidR="000A78A4" w:rsidRDefault="000A78A4" w:rsidP="009007EE">
            <w:pPr>
              <w:rPr>
                <w:b/>
              </w:rPr>
            </w:pPr>
            <w:r>
              <w:rPr>
                <w:b/>
              </w:rPr>
              <w:t>DECISION:</w:t>
            </w:r>
          </w:p>
        </w:tc>
        <w:tc>
          <w:tcPr>
            <w:tcW w:w="6156" w:type="dxa"/>
          </w:tcPr>
          <w:p w:rsidR="000A78A4" w:rsidRDefault="000A78A4" w:rsidP="009007EE">
            <w:pPr>
              <w:ind w:left="432" w:hanging="432"/>
            </w:pPr>
            <w:r>
              <w:t>Denied</w:t>
            </w:r>
          </w:p>
        </w:tc>
      </w:tr>
      <w:tr w:rsidR="000A78A4" w:rsidTr="000A78A4">
        <w:tc>
          <w:tcPr>
            <w:tcW w:w="3708" w:type="dxa"/>
          </w:tcPr>
          <w:p w:rsidR="000A78A4" w:rsidRDefault="000A78A4" w:rsidP="009007EE">
            <w:pPr>
              <w:rPr>
                <w:b/>
              </w:rPr>
            </w:pPr>
            <w:r>
              <w:rPr>
                <w:b/>
              </w:rPr>
              <w:t>CONTRACT SECTIONS:</w:t>
            </w:r>
          </w:p>
        </w:tc>
        <w:tc>
          <w:tcPr>
            <w:tcW w:w="6156" w:type="dxa"/>
          </w:tcPr>
          <w:p w:rsidR="000A78A4" w:rsidRDefault="00666296" w:rsidP="00666296">
            <w:pPr>
              <w:ind w:left="432" w:hanging="432"/>
            </w:pPr>
            <w:r>
              <w:t>24,</w:t>
            </w:r>
            <w:r>
              <w:t xml:space="preserve"> </w:t>
            </w:r>
            <w:r>
              <w:t>24.01</w:t>
            </w:r>
            <w:r>
              <w:t>-24.03</w:t>
            </w:r>
          </w:p>
        </w:tc>
      </w:tr>
      <w:tr w:rsidR="000A78A4" w:rsidTr="000A78A4">
        <w:tc>
          <w:tcPr>
            <w:tcW w:w="3708" w:type="dxa"/>
          </w:tcPr>
          <w:p w:rsidR="000A78A4" w:rsidRDefault="000A78A4" w:rsidP="009007EE">
            <w:pPr>
              <w:rPr>
                <w:b/>
              </w:rPr>
            </w:pPr>
            <w:r>
              <w:rPr>
                <w:b/>
              </w:rPr>
              <w:t>OCB RESEARCH CODES:</w:t>
            </w:r>
          </w:p>
        </w:tc>
        <w:tc>
          <w:tcPr>
            <w:tcW w:w="6156" w:type="dxa"/>
          </w:tcPr>
          <w:p w:rsidR="000A78A4" w:rsidRDefault="00BB2303" w:rsidP="007E42E4">
            <w:r>
              <w:t xml:space="preserve">118.01 – Discipline in General; </w:t>
            </w:r>
            <w:r w:rsidR="007E42E4">
              <w:t>118.6498 – Contraband on State Property; 106.01 – Dishonesty in General</w:t>
            </w:r>
            <w:bookmarkStart w:id="0" w:name="_GoBack"/>
            <w:bookmarkEnd w:id="0"/>
          </w:p>
        </w:tc>
      </w:tr>
      <w:tr w:rsidR="000A78A4" w:rsidTr="000A78A4">
        <w:tc>
          <w:tcPr>
            <w:tcW w:w="3708" w:type="dxa"/>
          </w:tcPr>
          <w:p w:rsidR="000A78A4" w:rsidRDefault="000A78A4" w:rsidP="009007EE">
            <w:pPr>
              <w:rPr>
                <w:b/>
              </w:rPr>
            </w:pPr>
          </w:p>
        </w:tc>
        <w:tc>
          <w:tcPr>
            <w:tcW w:w="6156" w:type="dxa"/>
          </w:tcPr>
          <w:p w:rsidR="000A78A4" w:rsidRDefault="000A78A4" w:rsidP="009007EE">
            <w:pPr>
              <w:ind w:left="432" w:hanging="432"/>
            </w:pPr>
          </w:p>
        </w:tc>
      </w:tr>
      <w:tr w:rsidR="000A78A4" w:rsidTr="000A78A4">
        <w:tc>
          <w:tcPr>
            <w:tcW w:w="3708" w:type="dxa"/>
          </w:tcPr>
          <w:p w:rsidR="000A78A4" w:rsidRDefault="000A78A4" w:rsidP="009007EE">
            <w:pPr>
              <w:rPr>
                <w:b/>
              </w:rPr>
            </w:pPr>
          </w:p>
        </w:tc>
        <w:tc>
          <w:tcPr>
            <w:tcW w:w="6156" w:type="dxa"/>
          </w:tcPr>
          <w:p w:rsidR="000A78A4" w:rsidRDefault="000A78A4" w:rsidP="009007EE">
            <w:pPr>
              <w:ind w:left="432" w:hanging="432"/>
            </w:pPr>
          </w:p>
        </w:tc>
      </w:tr>
    </w:tbl>
    <w:p w:rsidR="000A78A4" w:rsidRDefault="000A78A4" w:rsidP="000A78A4">
      <w:pPr>
        <w:rPr>
          <w:b/>
        </w:rPr>
      </w:pPr>
      <w:r>
        <w:rPr>
          <w:b/>
        </w:rPr>
        <w:t xml:space="preserve">HOLDING: </w:t>
      </w:r>
      <w:r>
        <w:rPr>
          <w:b/>
        </w:rPr>
        <w:tab/>
      </w:r>
      <w:r w:rsidRPr="00D52C33">
        <w:t xml:space="preserve">Grievance </w:t>
      </w:r>
      <w:r w:rsidRPr="00D52C33">
        <w:rPr>
          <w:b/>
        </w:rPr>
        <w:t>DENIED</w:t>
      </w:r>
      <w:r w:rsidRPr="00D52C33">
        <w:t>.  The Arbitrator found</w:t>
      </w:r>
      <w:r w:rsidR="00360A0F">
        <w:t xml:space="preserve"> that Grievant</w:t>
      </w:r>
      <w:r w:rsidR="00666296">
        <w:t xml:space="preserve"> violated the employer’s work rules by using</w:t>
      </w:r>
      <w:r w:rsidR="00360A0F">
        <w:t xml:space="preserve"> his cellphone and personal e</w:t>
      </w:r>
      <w:r w:rsidR="00102D96">
        <w:t>-</w:t>
      </w:r>
      <w:r w:rsidR="00360A0F">
        <w:t xml:space="preserve">mail </w:t>
      </w:r>
      <w:r w:rsidR="00666296">
        <w:t xml:space="preserve">excessively </w:t>
      </w:r>
      <w:r w:rsidR="00360A0F">
        <w:t xml:space="preserve">while on duty, </w:t>
      </w:r>
      <w:r w:rsidR="00666296">
        <w:t>and failing to follow the post-fight procedures</w:t>
      </w:r>
      <w:r w:rsidR="00360A0F">
        <w:t xml:space="preserve">. </w:t>
      </w:r>
      <w:r w:rsidR="00666296">
        <w:t>Given the</w:t>
      </w:r>
      <w:r w:rsidR="00882624">
        <w:t xml:space="preserve"> </w:t>
      </w:r>
      <w:r w:rsidR="00AA4302">
        <w:t>violation of those</w:t>
      </w:r>
      <w:r w:rsidR="004E3105">
        <w:t xml:space="preserve"> rules</w:t>
      </w:r>
      <w:r w:rsidR="00666296">
        <w:t>, and the fact that the grievant</w:t>
      </w:r>
      <w:r w:rsidR="004E3105">
        <w:t xml:space="preserve"> </w:t>
      </w:r>
      <w:r w:rsidR="00102D96">
        <w:t>had an active discipline on his record</w:t>
      </w:r>
      <w:r w:rsidR="00666296">
        <w:t>, there was just cause to remove the Grievant</w:t>
      </w:r>
      <w:r w:rsidR="00102D96">
        <w:t>.</w:t>
      </w:r>
    </w:p>
    <w:p w:rsidR="000A78A4" w:rsidRDefault="000A78A4" w:rsidP="000A78A4">
      <w:pPr>
        <w:rPr>
          <w:b/>
        </w:rPr>
      </w:pPr>
    </w:p>
    <w:p w:rsidR="000A78A4" w:rsidRDefault="000A78A4" w:rsidP="000A78A4">
      <w:pPr>
        <w:rPr>
          <w:b/>
        </w:rPr>
      </w:pPr>
      <w:r>
        <w:rPr>
          <w:b/>
        </w:rPr>
        <w:t>Facts</w:t>
      </w:r>
      <w:r w:rsidR="00D52C33">
        <w:rPr>
          <w:b/>
        </w:rPr>
        <w:t xml:space="preserve">: </w:t>
      </w:r>
      <w:r w:rsidR="00D52C33" w:rsidRPr="00D52C33">
        <w:t>Grievant was a correctional officer at the O</w:t>
      </w:r>
      <w:r w:rsidR="00D52C33">
        <w:t>hio Reformatory for Women (ORW) with approximately 7 years of service at th</w:t>
      </w:r>
      <w:r w:rsidR="00360A0F">
        <w:t xml:space="preserve">e time of his termination. </w:t>
      </w:r>
      <w:r w:rsidR="000A7404">
        <w:t xml:space="preserve">The </w:t>
      </w:r>
      <w:r w:rsidR="00667C9A">
        <w:t>E</w:t>
      </w:r>
      <w:r w:rsidR="00D52C33">
        <w:t>mployer</w:t>
      </w:r>
      <w:r w:rsidR="00032D7B">
        <w:t xml:space="preserve"> </w:t>
      </w:r>
      <w:r w:rsidR="00667C9A">
        <w:t xml:space="preserve">began </w:t>
      </w:r>
      <w:r w:rsidR="00360A0F">
        <w:t>an investigation of Grievant</w:t>
      </w:r>
      <w:r w:rsidR="00667C9A">
        <w:t xml:space="preserve"> after inmates alleged that he had encouraged one inmate to attack another. Through the co</w:t>
      </w:r>
      <w:r w:rsidR="00360A0F">
        <w:t>urse of this investigation,</w:t>
      </w:r>
      <w:r w:rsidR="000A7404">
        <w:t xml:space="preserve"> the</w:t>
      </w:r>
      <w:r w:rsidR="00360A0F">
        <w:t xml:space="preserve"> </w:t>
      </w:r>
      <w:r w:rsidR="00667C9A">
        <w:t>Employer discovered numerous other infra</w:t>
      </w:r>
      <w:r w:rsidR="00360A0F">
        <w:t>ctions committed by G</w:t>
      </w:r>
      <w:r w:rsidR="00667C9A">
        <w:t xml:space="preserve">rievant. </w:t>
      </w:r>
      <w:r w:rsidR="000A7404">
        <w:t xml:space="preserve">The </w:t>
      </w:r>
      <w:r w:rsidR="00667C9A">
        <w:t>Employer found that</w:t>
      </w:r>
      <w:r w:rsidR="00360A0F">
        <w:t xml:space="preserve"> G</w:t>
      </w:r>
      <w:r w:rsidR="00667C9A">
        <w:t>rievant had improperly</w:t>
      </w:r>
      <w:r w:rsidR="00AA4302">
        <w:t xml:space="preserve"> and excessively</w:t>
      </w:r>
      <w:r w:rsidR="00667C9A">
        <w:t xml:space="preserve"> used his personal e</w:t>
      </w:r>
      <w:r w:rsidR="00500E50">
        <w:t>-</w:t>
      </w:r>
      <w:r w:rsidR="00667C9A">
        <w:t xml:space="preserve">mail and cellphone while on duty, and not followed appropriate post-fight procedure. </w:t>
      </w:r>
    </w:p>
    <w:p w:rsidR="000A78A4" w:rsidRDefault="000A78A4" w:rsidP="000A78A4">
      <w:pPr>
        <w:rPr>
          <w:b/>
        </w:rPr>
      </w:pPr>
    </w:p>
    <w:p w:rsidR="000A78A4" w:rsidRPr="00970FC6" w:rsidRDefault="000A78A4" w:rsidP="000A78A4">
      <w:r>
        <w:rPr>
          <w:b/>
        </w:rPr>
        <w:t>The Employer argued</w:t>
      </w:r>
      <w:r w:rsidR="003161E8">
        <w:rPr>
          <w:b/>
        </w:rPr>
        <w:t xml:space="preserve">: </w:t>
      </w:r>
      <w:r w:rsidR="00AA4302" w:rsidRPr="00AA4302">
        <w:t>Grievant was terminated for just cause.</w:t>
      </w:r>
      <w:r w:rsidR="00AA4302">
        <w:rPr>
          <w:b/>
        </w:rPr>
        <w:t xml:space="preserve"> </w:t>
      </w:r>
      <w:r w:rsidR="00970FC6">
        <w:t xml:space="preserve">Grievant had an active </w:t>
      </w:r>
      <w:r w:rsidR="00AF37DE">
        <w:t>one day working suspension on his reco</w:t>
      </w:r>
      <w:r w:rsidR="008B11E7">
        <w:t xml:space="preserve">rd for a performance violation </w:t>
      </w:r>
      <w:r w:rsidR="009123AC">
        <w:t>at the time of the current incident</w:t>
      </w:r>
      <w:r w:rsidR="008B11E7">
        <w:t>; thus justifying Grievant’</w:t>
      </w:r>
      <w:r w:rsidR="00666813">
        <w:t xml:space="preserve">s termination. Grievant violated the </w:t>
      </w:r>
      <w:r w:rsidR="009123AC">
        <w:t>work rules by using</w:t>
      </w:r>
      <w:r w:rsidR="00666813">
        <w:t xml:space="preserve"> his state and personal e-mail accounts to e-mail another officer while they were both on duty, </w:t>
      </w:r>
      <w:r w:rsidR="009123AC">
        <w:t>by possessing</w:t>
      </w:r>
      <w:r w:rsidR="00666813">
        <w:t xml:space="preserve"> a cellphone while on </w:t>
      </w:r>
      <w:r w:rsidR="007B185F">
        <w:t xml:space="preserve">perimeter </w:t>
      </w:r>
      <w:r w:rsidR="00666813">
        <w:t>duty and used that cellphone to send non-business related text messages</w:t>
      </w:r>
      <w:r w:rsidR="00D75D81">
        <w:t xml:space="preserve">, and </w:t>
      </w:r>
      <w:r w:rsidR="009123AC">
        <w:t xml:space="preserve">by lying </w:t>
      </w:r>
      <w:r w:rsidR="00666813">
        <w:t xml:space="preserve">during the investigation </w:t>
      </w:r>
      <w:r w:rsidR="00D75D81">
        <w:t>process</w:t>
      </w:r>
      <w:r w:rsidR="00666813">
        <w:t xml:space="preserve">. </w:t>
      </w:r>
      <w:r w:rsidR="009123AC">
        <w:t xml:space="preserve">Further, the Grievant violated the work </w:t>
      </w:r>
      <w:r w:rsidR="0002584F">
        <w:t>rules by engaging in horseplay</w:t>
      </w:r>
      <w:r w:rsidR="00A36913">
        <w:t xml:space="preserve"> with </w:t>
      </w:r>
      <w:r w:rsidR="00915671">
        <w:t xml:space="preserve">an </w:t>
      </w:r>
      <w:r w:rsidR="00A36913">
        <w:t xml:space="preserve">inmate </w:t>
      </w:r>
      <w:r w:rsidR="00D75D81">
        <w:t>where he repeatedly withheld a pen and paper from her</w:t>
      </w:r>
      <w:r w:rsidR="0002584F">
        <w:t xml:space="preserve">, </w:t>
      </w:r>
      <w:r w:rsidR="006273A8">
        <w:t xml:space="preserve">and then attempted to intimidate </w:t>
      </w:r>
      <w:r w:rsidR="00915671">
        <w:t>an inmate</w:t>
      </w:r>
      <w:r w:rsidR="00D75D81">
        <w:t xml:space="preserve"> by sticking his finger in her face and saying “bad inmate”</w:t>
      </w:r>
      <w:r w:rsidR="006273A8">
        <w:t>.</w:t>
      </w:r>
      <w:r w:rsidR="0002584F">
        <w:t xml:space="preserve"> </w:t>
      </w:r>
      <w:r w:rsidR="006273A8">
        <w:t xml:space="preserve">The Grievant also violated the work rules by </w:t>
      </w:r>
      <w:r w:rsidR="0002584F">
        <w:t>encouraging</w:t>
      </w:r>
      <w:r w:rsidR="00D75D81">
        <w:t xml:space="preserve"> </w:t>
      </w:r>
      <w:r w:rsidR="00915671">
        <w:t>an inmate</w:t>
      </w:r>
      <w:r w:rsidR="0002584F">
        <w:t xml:space="preserve"> to fight, and </w:t>
      </w:r>
      <w:r w:rsidR="006273A8">
        <w:t>failing to take</w:t>
      </w:r>
      <w:r w:rsidR="0002584F">
        <w:t xml:space="preserve"> proper action to secure </w:t>
      </w:r>
      <w:r w:rsidR="00A42427">
        <w:t>the fighting</w:t>
      </w:r>
      <w:r w:rsidR="00915671">
        <w:t xml:space="preserve"> inmate</w:t>
      </w:r>
      <w:r w:rsidR="00D75D81">
        <w:t xml:space="preserve"> afterwards.</w:t>
      </w:r>
    </w:p>
    <w:p w:rsidR="000A78A4" w:rsidRDefault="000A78A4" w:rsidP="000A78A4">
      <w:pPr>
        <w:rPr>
          <w:b/>
        </w:rPr>
      </w:pPr>
    </w:p>
    <w:p w:rsidR="003161E8" w:rsidRDefault="003161E8" w:rsidP="000A78A4">
      <w:pPr>
        <w:rPr>
          <w:b/>
        </w:rPr>
      </w:pPr>
      <w:r>
        <w:rPr>
          <w:b/>
        </w:rPr>
        <w:lastRenderedPageBreak/>
        <w:t>The Union argued:</w:t>
      </w:r>
      <w:r w:rsidR="006561AF">
        <w:rPr>
          <w:b/>
        </w:rPr>
        <w:t xml:space="preserve"> </w:t>
      </w:r>
      <w:r w:rsidR="006561AF" w:rsidRPr="006561AF">
        <w:t>Grievant was wrongfully terminated.</w:t>
      </w:r>
      <w:r w:rsidR="006561AF">
        <w:rPr>
          <w:b/>
        </w:rPr>
        <w:t xml:space="preserve"> </w:t>
      </w:r>
      <w:r w:rsidR="006561AF" w:rsidRPr="006561AF">
        <w:t>All employees use their cellphones inappropriately at times and send personal e-mails</w:t>
      </w:r>
      <w:r w:rsidR="006561AF">
        <w:t>. Employees use their personal e-mail for NASCAR and football pools, so this should be no different. Grievant’s use of his cellphone while on perimeter duty is not problematic because occasional texts would not distract him from his overall purpose: to make sure contraband is not thrown over the fence.</w:t>
      </w:r>
      <w:r w:rsidR="00170D41">
        <w:t xml:space="preserve"> </w:t>
      </w:r>
      <w:r w:rsidR="00370175">
        <w:t>Grievant did not intend to convey his cellphone to anyone, and therefore it cannot be contraband. Grievant insisted that his “horseplay” was not inappropriate, sticking his finger in an inmates face and calling her “bad inmate” is not intimidation</w:t>
      </w:r>
      <w:r w:rsidR="00555ACA">
        <w:t xml:space="preserve"> because the inmate herself said she was not intimidated</w:t>
      </w:r>
      <w:r w:rsidR="00370175">
        <w:t>, and that he did not entice a fight or act inappropriately afterwards.</w:t>
      </w:r>
    </w:p>
    <w:p w:rsidR="006561AF" w:rsidRDefault="006561AF" w:rsidP="000A78A4">
      <w:pPr>
        <w:rPr>
          <w:b/>
        </w:rPr>
      </w:pPr>
    </w:p>
    <w:p w:rsidR="000A78A4" w:rsidRPr="00B944CF" w:rsidRDefault="00B944CF" w:rsidP="000A78A4">
      <w:r>
        <w:rPr>
          <w:b/>
        </w:rPr>
        <w:t xml:space="preserve">The Arbitrator found: </w:t>
      </w:r>
      <w:r>
        <w:t>The arbitrato</w:t>
      </w:r>
      <w:r w:rsidR="00555ACA">
        <w:t xml:space="preserve">r found that the Employer had established </w:t>
      </w:r>
      <w:r w:rsidR="00500E50">
        <w:t>that</w:t>
      </w:r>
      <w:r w:rsidR="006C7B2E">
        <w:t xml:space="preserve"> the Grievant had: inappropriately sent and received personal emails in his personal email account and his state email account while on state time; used his personal cellphone, which was contraband, while on perimeter duty; lied during his investigatory interview, and; failed to follow agency procedures for reporting an inmate fight. The Employer did not establish that the Grievant had engaged in inmate intimidation or enticed two inmates to fight each other. However, t</w:t>
      </w:r>
      <w:r w:rsidR="007F0F49">
        <w:t>he</w:t>
      </w:r>
      <w:r>
        <w:t xml:space="preserve"> </w:t>
      </w:r>
      <w:r w:rsidR="00555ACA">
        <w:t>violations that the Employer had</w:t>
      </w:r>
      <w:r>
        <w:t xml:space="preserve"> established justify the Grievant’s termination. </w:t>
      </w:r>
    </w:p>
    <w:p w:rsidR="00941653" w:rsidRDefault="00941653"/>
    <w:sectPr w:rsidR="00941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A4"/>
    <w:rsid w:val="000246AB"/>
    <w:rsid w:val="0002584F"/>
    <w:rsid w:val="00032D7B"/>
    <w:rsid w:val="000A7404"/>
    <w:rsid w:val="000A78A4"/>
    <w:rsid w:val="00102D96"/>
    <w:rsid w:val="00170D41"/>
    <w:rsid w:val="00241B81"/>
    <w:rsid w:val="003161E8"/>
    <w:rsid w:val="00360A0F"/>
    <w:rsid w:val="00370175"/>
    <w:rsid w:val="003D729C"/>
    <w:rsid w:val="004E3105"/>
    <w:rsid w:val="00500E50"/>
    <w:rsid w:val="00507283"/>
    <w:rsid w:val="00555ACA"/>
    <w:rsid w:val="006273A8"/>
    <w:rsid w:val="006561AF"/>
    <w:rsid w:val="00666296"/>
    <w:rsid w:val="00666813"/>
    <w:rsid w:val="00667C9A"/>
    <w:rsid w:val="006C7B2E"/>
    <w:rsid w:val="007A61FD"/>
    <w:rsid w:val="007B185F"/>
    <w:rsid w:val="007E42E4"/>
    <w:rsid w:val="007F0F49"/>
    <w:rsid w:val="008434A0"/>
    <w:rsid w:val="00882624"/>
    <w:rsid w:val="008B11E7"/>
    <w:rsid w:val="00906232"/>
    <w:rsid w:val="009123AC"/>
    <w:rsid w:val="00915671"/>
    <w:rsid w:val="00941653"/>
    <w:rsid w:val="00970FC6"/>
    <w:rsid w:val="009F1748"/>
    <w:rsid w:val="009F4A66"/>
    <w:rsid w:val="00A36913"/>
    <w:rsid w:val="00A42427"/>
    <w:rsid w:val="00AA4302"/>
    <w:rsid w:val="00AF37DE"/>
    <w:rsid w:val="00B944CF"/>
    <w:rsid w:val="00BB2303"/>
    <w:rsid w:val="00BD681F"/>
    <w:rsid w:val="00D52C33"/>
    <w:rsid w:val="00D74FD2"/>
    <w:rsid w:val="00D75D81"/>
    <w:rsid w:val="00E82A6A"/>
    <w:rsid w:val="00E82CFF"/>
    <w:rsid w:val="00EC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6EC37F1-F482-42BD-A6BE-4BA56757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8A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Teare, Travis</dc:creator>
  <cp:keywords/>
  <dc:description/>
  <cp:lastModifiedBy>Schenk, Megan</cp:lastModifiedBy>
  <cp:revision>5</cp:revision>
  <dcterms:created xsi:type="dcterms:W3CDTF">2016-06-07T14:55:00Z</dcterms:created>
  <dcterms:modified xsi:type="dcterms:W3CDTF">2016-06-07T20:35:00Z</dcterms:modified>
</cp:coreProperties>
</file>