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89D" w:rsidRPr="0040582F" w:rsidRDefault="00C335E4" w:rsidP="002B089D">
      <w:pPr>
        <w:jc w:val="center"/>
        <w:rPr>
          <w:b/>
          <w:sz w:val="19"/>
          <w:szCs w:val="21"/>
          <w:u w:val="single"/>
        </w:rPr>
      </w:pPr>
      <w:bookmarkStart w:id="0" w:name="_GoBack"/>
      <w:bookmarkEnd w:id="0"/>
      <w:r>
        <w:rPr>
          <w:b/>
          <w:sz w:val="19"/>
          <w:szCs w:val="21"/>
          <w:u w:val="single"/>
        </w:rPr>
        <w:t>OCB AWARD NUMBER: 224</w:t>
      </w:r>
      <w:r w:rsidR="00C76CE5">
        <w:rPr>
          <w:b/>
          <w:sz w:val="19"/>
          <w:szCs w:val="21"/>
          <w:u w:val="single"/>
        </w:rPr>
        <w:t>9</w:t>
      </w:r>
    </w:p>
    <w:p w:rsidR="002B089D" w:rsidRPr="0040582F" w:rsidRDefault="002B089D" w:rsidP="002B089D">
      <w:pPr>
        <w:jc w:val="center"/>
        <w:rPr>
          <w:sz w:val="20"/>
        </w:rPr>
      </w:pPr>
    </w:p>
    <w:tbl>
      <w:tblPr>
        <w:tblW w:w="11089" w:type="dxa"/>
        <w:tblLayout w:type="fixed"/>
        <w:tblLook w:val="0000" w:firstRow="0" w:lastRow="0" w:firstColumn="0" w:lastColumn="0" w:noHBand="0" w:noVBand="0"/>
      </w:tblPr>
      <w:tblGrid>
        <w:gridCol w:w="4001"/>
        <w:gridCol w:w="7088"/>
      </w:tblGrid>
      <w:tr w:rsidR="002B089D" w:rsidRPr="0040582F" w:rsidTr="00291E8D">
        <w:trPr>
          <w:trHeight w:val="237"/>
        </w:trPr>
        <w:tc>
          <w:tcPr>
            <w:tcW w:w="4001" w:type="dxa"/>
          </w:tcPr>
          <w:p w:rsidR="002B089D" w:rsidRPr="0040582F" w:rsidRDefault="002B089D" w:rsidP="00291E8D">
            <w:pPr>
              <w:rPr>
                <w:sz w:val="20"/>
              </w:rPr>
            </w:pPr>
            <w:r w:rsidRPr="0040582F">
              <w:rPr>
                <w:b/>
                <w:sz w:val="20"/>
              </w:rPr>
              <w:t>SUBJECT:</w:t>
            </w:r>
          </w:p>
        </w:tc>
        <w:tc>
          <w:tcPr>
            <w:tcW w:w="7088" w:type="dxa"/>
          </w:tcPr>
          <w:p w:rsidR="002B089D" w:rsidRPr="0040582F" w:rsidRDefault="00C80D38" w:rsidP="00C335E4">
            <w:pPr>
              <w:rPr>
                <w:b/>
                <w:sz w:val="20"/>
              </w:rPr>
            </w:pPr>
            <w:r>
              <w:rPr>
                <w:b/>
                <w:sz w:val="20"/>
              </w:rPr>
              <w:t>ARB SUMMARY # 224</w:t>
            </w:r>
            <w:r w:rsidR="00C76CE5">
              <w:rPr>
                <w:b/>
                <w:sz w:val="20"/>
              </w:rPr>
              <w:t>9</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TO:</w:t>
            </w:r>
          </w:p>
        </w:tc>
        <w:tc>
          <w:tcPr>
            <w:tcW w:w="7088" w:type="dxa"/>
          </w:tcPr>
          <w:p w:rsidR="002B089D" w:rsidRPr="0040582F" w:rsidRDefault="002B089D" w:rsidP="00291E8D">
            <w:pPr>
              <w:rPr>
                <w:b/>
                <w:sz w:val="20"/>
              </w:rPr>
            </w:pPr>
            <w:r w:rsidRPr="0040582F">
              <w:rPr>
                <w:b/>
                <w:sz w:val="20"/>
              </w:rPr>
              <w:t>ALL ADVOCATES</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FROM:</w:t>
            </w:r>
          </w:p>
        </w:tc>
        <w:tc>
          <w:tcPr>
            <w:tcW w:w="7088" w:type="dxa"/>
          </w:tcPr>
          <w:p w:rsidR="002B089D" w:rsidRPr="0040582F" w:rsidRDefault="002B089D" w:rsidP="00291E8D">
            <w:pPr>
              <w:rPr>
                <w:b/>
                <w:sz w:val="20"/>
              </w:rPr>
            </w:pPr>
            <w:r w:rsidRPr="0040582F">
              <w:rPr>
                <w:b/>
                <w:sz w:val="20"/>
              </w:rPr>
              <w:t>DAVID LONG</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OCB GRIEVANCE NUMBER:</w:t>
            </w:r>
          </w:p>
        </w:tc>
        <w:tc>
          <w:tcPr>
            <w:tcW w:w="7088" w:type="dxa"/>
          </w:tcPr>
          <w:p w:rsidR="002B089D" w:rsidRPr="0040582F" w:rsidRDefault="00C76CE5" w:rsidP="00291E8D">
            <w:pPr>
              <w:rPr>
                <w:b/>
                <w:sz w:val="20"/>
              </w:rPr>
            </w:pPr>
            <w:r>
              <w:rPr>
                <w:b/>
                <w:sz w:val="20"/>
              </w:rPr>
              <w:t>27-23-20130228-0015-01-03</w:t>
            </w:r>
            <w:r w:rsidR="00C335E4">
              <w:rPr>
                <w:b/>
                <w:sz w:val="20"/>
              </w:rPr>
              <w:t xml:space="preserve"> </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DEPARTMENT:</w:t>
            </w:r>
          </w:p>
        </w:tc>
        <w:tc>
          <w:tcPr>
            <w:tcW w:w="7088" w:type="dxa"/>
          </w:tcPr>
          <w:p w:rsidR="002B089D" w:rsidRPr="0040582F" w:rsidRDefault="00C76CE5" w:rsidP="00291E8D">
            <w:pPr>
              <w:ind w:left="432" w:hanging="432"/>
              <w:rPr>
                <w:b/>
                <w:sz w:val="20"/>
              </w:rPr>
            </w:pPr>
            <w:r>
              <w:rPr>
                <w:b/>
                <w:sz w:val="20"/>
              </w:rPr>
              <w:t>Department of Rehabilitation and Correction</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UNION:</w:t>
            </w:r>
          </w:p>
        </w:tc>
        <w:tc>
          <w:tcPr>
            <w:tcW w:w="7088" w:type="dxa"/>
          </w:tcPr>
          <w:p w:rsidR="002B089D" w:rsidRPr="0040582F" w:rsidRDefault="00C76CE5" w:rsidP="00291E8D">
            <w:pPr>
              <w:ind w:left="432" w:hanging="432"/>
              <w:rPr>
                <w:b/>
                <w:sz w:val="20"/>
              </w:rPr>
            </w:pPr>
            <w:r>
              <w:rPr>
                <w:b/>
                <w:sz w:val="20"/>
              </w:rPr>
              <w:t>OCSEA</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ARBITRATOR:</w:t>
            </w:r>
          </w:p>
        </w:tc>
        <w:tc>
          <w:tcPr>
            <w:tcW w:w="7088" w:type="dxa"/>
          </w:tcPr>
          <w:p w:rsidR="002B089D" w:rsidRPr="0040582F" w:rsidRDefault="00C76CE5" w:rsidP="00291E8D">
            <w:pPr>
              <w:ind w:left="432" w:hanging="432"/>
              <w:rPr>
                <w:b/>
                <w:sz w:val="20"/>
              </w:rPr>
            </w:pPr>
            <w:r>
              <w:rPr>
                <w:b/>
                <w:sz w:val="20"/>
              </w:rPr>
              <w:t>Howard D. Silver</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GRIEVANT NAME:</w:t>
            </w:r>
          </w:p>
        </w:tc>
        <w:tc>
          <w:tcPr>
            <w:tcW w:w="7088" w:type="dxa"/>
          </w:tcPr>
          <w:p w:rsidR="002B089D" w:rsidRPr="0040582F" w:rsidRDefault="00C76CE5" w:rsidP="00291E8D">
            <w:pPr>
              <w:ind w:left="432" w:hanging="432"/>
              <w:rPr>
                <w:b/>
                <w:sz w:val="20"/>
              </w:rPr>
            </w:pPr>
            <w:r>
              <w:rPr>
                <w:b/>
                <w:sz w:val="20"/>
              </w:rPr>
              <w:t xml:space="preserve">Christine </w:t>
            </w:r>
            <w:proofErr w:type="spellStart"/>
            <w:r>
              <w:rPr>
                <w:b/>
                <w:sz w:val="20"/>
              </w:rPr>
              <w:t>Minney</w:t>
            </w:r>
            <w:proofErr w:type="spellEnd"/>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MANAGEMENT ADVOCATE:</w:t>
            </w:r>
          </w:p>
        </w:tc>
        <w:tc>
          <w:tcPr>
            <w:tcW w:w="7088" w:type="dxa"/>
          </w:tcPr>
          <w:p w:rsidR="002B089D" w:rsidRPr="0040582F" w:rsidRDefault="00C76CE5" w:rsidP="00291E8D">
            <w:pPr>
              <w:ind w:left="432" w:hanging="432"/>
              <w:rPr>
                <w:b/>
                <w:sz w:val="20"/>
              </w:rPr>
            </w:pPr>
            <w:r>
              <w:rPr>
                <w:b/>
                <w:sz w:val="20"/>
              </w:rPr>
              <w:t>Sandy Hinton</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UNION ADVOCATE:</w:t>
            </w:r>
          </w:p>
        </w:tc>
        <w:tc>
          <w:tcPr>
            <w:tcW w:w="7088" w:type="dxa"/>
          </w:tcPr>
          <w:p w:rsidR="002B089D" w:rsidRPr="0040582F" w:rsidRDefault="00C76CE5" w:rsidP="00291E8D">
            <w:pPr>
              <w:ind w:left="432" w:hanging="432"/>
              <w:rPr>
                <w:b/>
                <w:sz w:val="20"/>
              </w:rPr>
            </w:pPr>
            <w:r>
              <w:rPr>
                <w:b/>
                <w:sz w:val="20"/>
              </w:rPr>
              <w:t>David Justice</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ARBITRATION DATE:</w:t>
            </w:r>
          </w:p>
        </w:tc>
        <w:tc>
          <w:tcPr>
            <w:tcW w:w="7088" w:type="dxa"/>
          </w:tcPr>
          <w:p w:rsidR="002B089D" w:rsidRPr="0040582F" w:rsidRDefault="00C76CE5" w:rsidP="00291E8D">
            <w:pPr>
              <w:ind w:left="432" w:hanging="432"/>
              <w:rPr>
                <w:b/>
                <w:sz w:val="20"/>
              </w:rPr>
            </w:pPr>
            <w:r>
              <w:rPr>
                <w:b/>
                <w:sz w:val="20"/>
              </w:rPr>
              <w:t>3-11</w:t>
            </w:r>
            <w:r w:rsidR="00C71CEF">
              <w:rPr>
                <w:b/>
                <w:sz w:val="20"/>
              </w:rPr>
              <w:t>-2014</w:t>
            </w:r>
          </w:p>
        </w:tc>
      </w:tr>
      <w:tr w:rsidR="002B089D" w:rsidRPr="0040582F" w:rsidTr="00291E8D">
        <w:trPr>
          <w:trHeight w:val="78"/>
        </w:trPr>
        <w:tc>
          <w:tcPr>
            <w:tcW w:w="4001" w:type="dxa"/>
          </w:tcPr>
          <w:p w:rsidR="002B089D" w:rsidRPr="0040582F" w:rsidRDefault="002B089D" w:rsidP="00291E8D">
            <w:pPr>
              <w:rPr>
                <w:b/>
                <w:sz w:val="20"/>
              </w:rPr>
            </w:pPr>
            <w:r w:rsidRPr="0040582F">
              <w:rPr>
                <w:b/>
                <w:sz w:val="20"/>
              </w:rPr>
              <w:t>DECISION DATE:</w:t>
            </w:r>
          </w:p>
        </w:tc>
        <w:tc>
          <w:tcPr>
            <w:tcW w:w="7088" w:type="dxa"/>
          </w:tcPr>
          <w:p w:rsidR="002B089D" w:rsidRPr="0040582F" w:rsidRDefault="00C76CE5" w:rsidP="00291E8D">
            <w:pPr>
              <w:ind w:left="432" w:hanging="432"/>
              <w:rPr>
                <w:b/>
                <w:sz w:val="20"/>
              </w:rPr>
            </w:pPr>
            <w:r>
              <w:rPr>
                <w:b/>
                <w:sz w:val="20"/>
              </w:rPr>
              <w:t>4-30</w:t>
            </w:r>
            <w:r w:rsidR="00C71CEF">
              <w:rPr>
                <w:b/>
                <w:sz w:val="20"/>
              </w:rPr>
              <w:t>-2014</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DECISION:</w:t>
            </w:r>
          </w:p>
        </w:tc>
        <w:tc>
          <w:tcPr>
            <w:tcW w:w="7088" w:type="dxa"/>
          </w:tcPr>
          <w:p w:rsidR="002B089D" w:rsidRPr="0040582F" w:rsidRDefault="00C335E4" w:rsidP="00291E8D">
            <w:pPr>
              <w:ind w:left="432" w:hanging="432"/>
              <w:rPr>
                <w:b/>
                <w:sz w:val="20"/>
              </w:rPr>
            </w:pPr>
            <w:r>
              <w:rPr>
                <w:b/>
                <w:sz w:val="20"/>
              </w:rPr>
              <w:t>DENIED</w:t>
            </w:r>
            <w:r w:rsidR="002B089D">
              <w:rPr>
                <w:b/>
                <w:sz w:val="20"/>
              </w:rPr>
              <w:t xml:space="preserve"> </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CONTRACT SECTIONS:</w:t>
            </w:r>
          </w:p>
        </w:tc>
        <w:tc>
          <w:tcPr>
            <w:tcW w:w="7088" w:type="dxa"/>
          </w:tcPr>
          <w:p w:rsidR="002B089D" w:rsidRPr="0040582F" w:rsidRDefault="00434315" w:rsidP="00C76CE5">
            <w:pPr>
              <w:rPr>
                <w:b/>
                <w:sz w:val="20"/>
              </w:rPr>
            </w:pPr>
            <w:r>
              <w:rPr>
                <w:b/>
                <w:sz w:val="20"/>
              </w:rPr>
              <w:t>Article</w:t>
            </w:r>
            <w:r w:rsidR="00C76CE5">
              <w:rPr>
                <w:b/>
                <w:sz w:val="20"/>
              </w:rPr>
              <w:t>s</w:t>
            </w:r>
            <w:r>
              <w:rPr>
                <w:b/>
                <w:sz w:val="20"/>
              </w:rPr>
              <w:t xml:space="preserve"> </w:t>
            </w:r>
            <w:r w:rsidR="00C76CE5">
              <w:rPr>
                <w:b/>
                <w:sz w:val="20"/>
              </w:rPr>
              <w:t>7, 17.05 and 19.04</w:t>
            </w:r>
            <w:r w:rsidR="00885F07">
              <w:rPr>
                <w:b/>
                <w:sz w:val="20"/>
              </w:rPr>
              <w:t xml:space="preserve"> </w:t>
            </w:r>
            <w:r w:rsidR="00151FB8">
              <w:rPr>
                <w:b/>
                <w:sz w:val="20"/>
              </w:rPr>
              <w:t xml:space="preserve"> </w:t>
            </w:r>
            <w:r>
              <w:rPr>
                <w:b/>
                <w:sz w:val="20"/>
              </w:rPr>
              <w:t xml:space="preserve">  </w:t>
            </w:r>
          </w:p>
        </w:tc>
      </w:tr>
      <w:tr w:rsidR="002B089D" w:rsidRPr="0040582F" w:rsidTr="00291E8D">
        <w:trPr>
          <w:trHeight w:val="458"/>
        </w:trPr>
        <w:tc>
          <w:tcPr>
            <w:tcW w:w="4001" w:type="dxa"/>
          </w:tcPr>
          <w:p w:rsidR="002B089D" w:rsidRPr="0040582F" w:rsidRDefault="002B089D" w:rsidP="00291E8D">
            <w:pPr>
              <w:rPr>
                <w:b/>
                <w:sz w:val="20"/>
              </w:rPr>
            </w:pPr>
            <w:r w:rsidRPr="0040582F">
              <w:rPr>
                <w:b/>
                <w:sz w:val="20"/>
              </w:rPr>
              <w:t>OCB RESEARCH CODES:</w:t>
            </w:r>
          </w:p>
        </w:tc>
        <w:tc>
          <w:tcPr>
            <w:tcW w:w="7088" w:type="dxa"/>
          </w:tcPr>
          <w:p w:rsidR="002B089D" w:rsidRDefault="00194D61" w:rsidP="00194D61">
            <w:pPr>
              <w:ind w:hanging="23"/>
              <w:rPr>
                <w:b/>
                <w:sz w:val="20"/>
              </w:rPr>
            </w:pPr>
            <w:r>
              <w:rPr>
                <w:b/>
                <w:sz w:val="20"/>
              </w:rPr>
              <w:t xml:space="preserve"> </w:t>
            </w:r>
            <w:r w:rsidR="00C76CE5">
              <w:rPr>
                <w:b/>
                <w:sz w:val="20"/>
              </w:rPr>
              <w:t>119.</w:t>
            </w:r>
            <w:r w:rsidR="00C335E4">
              <w:rPr>
                <w:b/>
                <w:sz w:val="20"/>
              </w:rPr>
              <w:t>1</w:t>
            </w:r>
            <w:r w:rsidR="00C76CE5">
              <w:rPr>
                <w:b/>
                <w:sz w:val="20"/>
              </w:rPr>
              <w:t>223</w:t>
            </w:r>
            <w:r w:rsidR="00C71CEF">
              <w:rPr>
                <w:b/>
                <w:sz w:val="20"/>
              </w:rPr>
              <w:t>-</w:t>
            </w:r>
            <w:r w:rsidR="00C76CE5">
              <w:rPr>
                <w:b/>
                <w:sz w:val="20"/>
              </w:rPr>
              <w:t>Promotions—Minimum Qualifications</w:t>
            </w:r>
            <w:r w:rsidR="00C71CEF">
              <w:rPr>
                <w:b/>
                <w:sz w:val="20"/>
              </w:rPr>
              <w:t xml:space="preserve"> </w:t>
            </w:r>
          </w:p>
          <w:p w:rsidR="002B089D" w:rsidRPr="0040582F" w:rsidRDefault="002B089D" w:rsidP="00291E8D">
            <w:pPr>
              <w:ind w:left="319" w:hanging="342"/>
              <w:rPr>
                <w:b/>
                <w:sz w:val="20"/>
              </w:rPr>
            </w:pPr>
            <w:r>
              <w:rPr>
                <w:b/>
                <w:sz w:val="20"/>
              </w:rPr>
              <w:t xml:space="preserve"> </w:t>
            </w:r>
          </w:p>
        </w:tc>
      </w:tr>
    </w:tbl>
    <w:p w:rsidR="00885F07" w:rsidRDefault="002B089D" w:rsidP="002B089D">
      <w:pPr>
        <w:jc w:val="both"/>
        <w:rPr>
          <w:b/>
          <w:sz w:val="21"/>
          <w:szCs w:val="21"/>
        </w:rPr>
      </w:pPr>
      <w:r w:rsidRPr="0040582F">
        <w:rPr>
          <w:b/>
          <w:sz w:val="21"/>
          <w:szCs w:val="21"/>
        </w:rPr>
        <w:t xml:space="preserve">HOLDING: Grievance </w:t>
      </w:r>
      <w:r w:rsidR="00C335E4">
        <w:rPr>
          <w:b/>
          <w:sz w:val="21"/>
          <w:szCs w:val="21"/>
        </w:rPr>
        <w:t>DENIED</w:t>
      </w:r>
      <w:r w:rsidR="00C71CEF">
        <w:rPr>
          <w:b/>
          <w:sz w:val="21"/>
          <w:szCs w:val="21"/>
        </w:rPr>
        <w:t>.</w:t>
      </w:r>
      <w:r w:rsidR="00C277E2">
        <w:rPr>
          <w:b/>
          <w:sz w:val="21"/>
          <w:szCs w:val="21"/>
        </w:rPr>
        <w:t xml:space="preserve"> </w:t>
      </w:r>
      <w:r w:rsidR="006260FD" w:rsidRPr="00F1060F">
        <w:rPr>
          <w:b/>
          <w:sz w:val="21"/>
          <w:szCs w:val="21"/>
        </w:rPr>
        <w:t>The superior candidate was granted the promotion. The candidates’ scores were not similar enough to render them substantially equal. Seniority, thus, is not a dispositive factor.</w:t>
      </w:r>
    </w:p>
    <w:p w:rsidR="00C76CE5" w:rsidRDefault="00C76CE5" w:rsidP="002B089D">
      <w:pPr>
        <w:jc w:val="both"/>
        <w:rPr>
          <w:b/>
          <w:sz w:val="21"/>
          <w:szCs w:val="21"/>
        </w:rPr>
      </w:pPr>
    </w:p>
    <w:p w:rsidR="00EE2589" w:rsidRPr="003F7602" w:rsidRDefault="008E1C92" w:rsidP="002B089D">
      <w:pPr>
        <w:jc w:val="both"/>
        <w:rPr>
          <w:sz w:val="21"/>
          <w:szCs w:val="21"/>
        </w:rPr>
      </w:pPr>
      <w:r>
        <w:rPr>
          <w:i/>
          <w:sz w:val="21"/>
          <w:szCs w:val="21"/>
        </w:rPr>
        <w:t xml:space="preserve">Facts. </w:t>
      </w:r>
      <w:r w:rsidR="00B92656">
        <w:rPr>
          <w:sz w:val="21"/>
          <w:szCs w:val="21"/>
        </w:rPr>
        <w:t xml:space="preserve">Mr. Vickers was given a newly vacated position temporarily. </w:t>
      </w:r>
      <w:r w:rsidR="00CB6A15">
        <w:rPr>
          <w:sz w:val="21"/>
          <w:szCs w:val="21"/>
        </w:rPr>
        <w:t xml:space="preserve">Later, </w:t>
      </w:r>
      <w:r w:rsidR="00B92656">
        <w:rPr>
          <w:sz w:val="21"/>
          <w:szCs w:val="21"/>
        </w:rPr>
        <w:t>the Employer opened competition for the position. The hiring process played out and Mr. Vickers was awarded the position</w:t>
      </w:r>
      <w:r w:rsidR="00CB6A15">
        <w:rPr>
          <w:sz w:val="21"/>
          <w:szCs w:val="21"/>
        </w:rPr>
        <w:t xml:space="preserve"> permanently</w:t>
      </w:r>
      <w:r w:rsidR="00B92656">
        <w:rPr>
          <w:sz w:val="21"/>
          <w:szCs w:val="21"/>
        </w:rPr>
        <w:t xml:space="preserve">. </w:t>
      </w:r>
      <w:r w:rsidR="00CB6A15">
        <w:rPr>
          <w:sz w:val="21"/>
          <w:szCs w:val="21"/>
        </w:rPr>
        <w:t>As is customary, not everyone found this satisfactory. The Grievant felt that she should have gotten the job. After all, she had more seniority. She also challenged the way her test was graded. She believed that she should have received</w:t>
      </w:r>
      <w:r w:rsidR="00E62AFC">
        <w:rPr>
          <w:sz w:val="21"/>
          <w:szCs w:val="21"/>
        </w:rPr>
        <w:t xml:space="preserve"> a higher score. Indeed,</w:t>
      </w:r>
      <w:r w:rsidR="00CB6A15">
        <w:rPr>
          <w:sz w:val="21"/>
          <w:szCs w:val="21"/>
        </w:rPr>
        <w:t xml:space="preserve"> if she </w:t>
      </w:r>
      <w:r w:rsidR="00E62AFC">
        <w:rPr>
          <w:sz w:val="21"/>
          <w:szCs w:val="21"/>
        </w:rPr>
        <w:t>did</w:t>
      </w:r>
      <w:r w:rsidR="00CB6A15">
        <w:rPr>
          <w:sz w:val="21"/>
          <w:szCs w:val="21"/>
        </w:rPr>
        <w:t>, her marks would be close enough to Mr. Vickers’s that her seniority would trump Mr. Vickers’s other credentials.</w:t>
      </w:r>
      <w:r w:rsidR="00E62AFC">
        <w:rPr>
          <w:sz w:val="21"/>
          <w:szCs w:val="21"/>
        </w:rPr>
        <w:t xml:space="preserve"> The position would be hers. </w:t>
      </w:r>
      <w:r w:rsidR="00CB6A15">
        <w:rPr>
          <w:sz w:val="21"/>
          <w:szCs w:val="21"/>
        </w:rPr>
        <w:t xml:space="preserve">     </w:t>
      </w:r>
      <w:r w:rsidR="00B92656">
        <w:rPr>
          <w:sz w:val="21"/>
          <w:szCs w:val="21"/>
        </w:rPr>
        <w:t xml:space="preserve"> </w:t>
      </w:r>
    </w:p>
    <w:p w:rsidR="0017687D" w:rsidRDefault="0017687D" w:rsidP="002B089D">
      <w:pPr>
        <w:jc w:val="both"/>
        <w:rPr>
          <w:sz w:val="21"/>
          <w:szCs w:val="21"/>
        </w:rPr>
      </w:pPr>
    </w:p>
    <w:p w:rsidR="00885F07" w:rsidRPr="00E62AFC" w:rsidRDefault="008E1C92" w:rsidP="002B089D">
      <w:pPr>
        <w:jc w:val="both"/>
        <w:rPr>
          <w:sz w:val="21"/>
          <w:szCs w:val="21"/>
        </w:rPr>
      </w:pPr>
      <w:r>
        <w:rPr>
          <w:i/>
          <w:sz w:val="21"/>
          <w:szCs w:val="21"/>
        </w:rPr>
        <w:t xml:space="preserve">The Employer’s Argument. </w:t>
      </w:r>
      <w:r w:rsidR="00BD2A27">
        <w:rPr>
          <w:sz w:val="21"/>
          <w:szCs w:val="21"/>
        </w:rPr>
        <w:t>The superior candidate was granted the position. Mr. Vickers scored significantly higher than the Grievant on his evaluation. Seniority, thus, is not a dispositive factor. The process was fair as well. The fact that Mr. Vickers held the promotional position temporarily pre-</w:t>
      </w:r>
      <w:r w:rsidR="006260FD">
        <w:rPr>
          <w:sz w:val="21"/>
          <w:szCs w:val="21"/>
        </w:rPr>
        <w:t>evaluation</w:t>
      </w:r>
      <w:r w:rsidR="00BD2A27">
        <w:rPr>
          <w:sz w:val="21"/>
          <w:szCs w:val="21"/>
        </w:rPr>
        <w:t xml:space="preserve"> was a nonfactor. All tests were administered equitably and graded accurately. </w:t>
      </w:r>
      <w:r w:rsidR="00F1060F">
        <w:rPr>
          <w:sz w:val="21"/>
          <w:szCs w:val="21"/>
        </w:rPr>
        <w:t xml:space="preserve">The Employer fixed its previous mistake, recognizing that the Grievant met minimum qualifications. The Grievant went through the entire process under the same conditions as everyone else. She just did not score high enough to obtain the promotion. </w:t>
      </w:r>
      <w:r w:rsidR="006260FD">
        <w:rPr>
          <w:sz w:val="21"/>
          <w:szCs w:val="21"/>
        </w:rPr>
        <w:t xml:space="preserve"> </w:t>
      </w:r>
    </w:p>
    <w:p w:rsidR="00863590" w:rsidRDefault="00863590" w:rsidP="002B089D">
      <w:pPr>
        <w:jc w:val="both"/>
        <w:rPr>
          <w:sz w:val="21"/>
          <w:szCs w:val="21"/>
        </w:rPr>
      </w:pPr>
    </w:p>
    <w:p w:rsidR="00A77F92" w:rsidRDefault="002B089D" w:rsidP="002B089D">
      <w:pPr>
        <w:jc w:val="both"/>
        <w:rPr>
          <w:sz w:val="21"/>
          <w:szCs w:val="21"/>
        </w:rPr>
      </w:pPr>
      <w:r w:rsidRPr="008E1C92">
        <w:rPr>
          <w:i/>
          <w:sz w:val="21"/>
          <w:szCs w:val="21"/>
        </w:rPr>
        <w:t>The Union</w:t>
      </w:r>
      <w:r w:rsidR="008E1C92" w:rsidRPr="008E1C92">
        <w:rPr>
          <w:i/>
          <w:sz w:val="21"/>
          <w:szCs w:val="21"/>
        </w:rPr>
        <w:t>’s Argument</w:t>
      </w:r>
      <w:r w:rsidR="008E1C92">
        <w:rPr>
          <w:sz w:val="21"/>
          <w:szCs w:val="21"/>
        </w:rPr>
        <w:t>.</w:t>
      </w:r>
      <w:r w:rsidR="00D84A9B">
        <w:rPr>
          <w:sz w:val="21"/>
          <w:szCs w:val="21"/>
        </w:rPr>
        <w:t xml:space="preserve"> </w:t>
      </w:r>
      <w:r w:rsidR="00CB6A15">
        <w:rPr>
          <w:sz w:val="21"/>
          <w:szCs w:val="21"/>
        </w:rPr>
        <w:t>The Grievant should have been promoted. She is a 21 year employee with a</w:t>
      </w:r>
      <w:r w:rsidR="006260FD">
        <w:rPr>
          <w:sz w:val="21"/>
          <w:szCs w:val="21"/>
        </w:rPr>
        <w:t xml:space="preserve"> variety of relevant experience that</w:t>
      </w:r>
      <w:r w:rsidR="00E62AFC">
        <w:rPr>
          <w:sz w:val="21"/>
          <w:szCs w:val="21"/>
        </w:rPr>
        <w:t xml:space="preserve"> has been subjected to an unfair evaluation. </w:t>
      </w:r>
      <w:r w:rsidR="006260FD">
        <w:rPr>
          <w:sz w:val="21"/>
          <w:szCs w:val="21"/>
        </w:rPr>
        <w:t>T</w:t>
      </w:r>
      <w:r w:rsidR="00CB6A15">
        <w:rPr>
          <w:sz w:val="21"/>
          <w:szCs w:val="21"/>
        </w:rPr>
        <w:t>he Grievant was given a differ</w:t>
      </w:r>
      <w:r w:rsidR="00E62AFC">
        <w:rPr>
          <w:sz w:val="21"/>
          <w:szCs w:val="21"/>
        </w:rPr>
        <w:t xml:space="preserve">ent test than Mr. Vickers. </w:t>
      </w:r>
      <w:r w:rsidR="006260FD">
        <w:rPr>
          <w:sz w:val="21"/>
          <w:szCs w:val="21"/>
        </w:rPr>
        <w:t>And o</w:t>
      </w:r>
      <w:r w:rsidR="00E62AFC">
        <w:rPr>
          <w:sz w:val="21"/>
          <w:szCs w:val="21"/>
        </w:rPr>
        <w:t>n top of that, h</w:t>
      </w:r>
      <w:r w:rsidR="00CB6A15">
        <w:rPr>
          <w:sz w:val="21"/>
          <w:szCs w:val="21"/>
        </w:rPr>
        <w:t xml:space="preserve">er test was graded inaccurately. </w:t>
      </w:r>
      <w:r w:rsidR="006260FD">
        <w:rPr>
          <w:sz w:val="21"/>
          <w:szCs w:val="21"/>
        </w:rPr>
        <w:t>If that is not enough, notice that</w:t>
      </w:r>
      <w:r w:rsidR="00E62AFC">
        <w:rPr>
          <w:sz w:val="21"/>
          <w:szCs w:val="21"/>
        </w:rPr>
        <w:t xml:space="preserve"> she was not properly instructed on how to answer a specific question. </w:t>
      </w:r>
      <w:r w:rsidR="006260FD">
        <w:rPr>
          <w:sz w:val="21"/>
          <w:szCs w:val="21"/>
        </w:rPr>
        <w:t>So</w:t>
      </w:r>
      <w:r w:rsidR="00E62AFC">
        <w:rPr>
          <w:sz w:val="21"/>
          <w:szCs w:val="21"/>
        </w:rPr>
        <w:t xml:space="preserve"> she received a lower score than she should have. Since an accurate evaluation would have gotten her the position, for the sake of equity, she should be granted the promotion.  </w:t>
      </w:r>
    </w:p>
    <w:p w:rsidR="007708DE" w:rsidRPr="0040582F" w:rsidRDefault="007708DE" w:rsidP="002B089D">
      <w:pPr>
        <w:jc w:val="both"/>
        <w:rPr>
          <w:sz w:val="21"/>
          <w:szCs w:val="21"/>
        </w:rPr>
      </w:pPr>
    </w:p>
    <w:p w:rsidR="002B089D" w:rsidRPr="006260FD" w:rsidRDefault="00EE3705" w:rsidP="002B089D">
      <w:pPr>
        <w:jc w:val="both"/>
        <w:rPr>
          <w:sz w:val="21"/>
          <w:szCs w:val="21"/>
        </w:rPr>
      </w:pPr>
      <w:r>
        <w:rPr>
          <w:i/>
          <w:sz w:val="21"/>
          <w:szCs w:val="21"/>
        </w:rPr>
        <w:t>Holding.</w:t>
      </w:r>
      <w:r w:rsidR="00863590">
        <w:rPr>
          <w:i/>
          <w:sz w:val="21"/>
          <w:szCs w:val="21"/>
        </w:rPr>
        <w:t xml:space="preserve"> </w:t>
      </w:r>
      <w:r w:rsidR="006260FD">
        <w:rPr>
          <w:sz w:val="21"/>
          <w:szCs w:val="21"/>
        </w:rPr>
        <w:t xml:space="preserve">The superior candidate was granted the promotion. The candidates’ scores were not similar enough to render them substantially equal. Seniority, thus, is not a dispositive factor. </w:t>
      </w:r>
    </w:p>
    <w:p w:rsidR="00C335E4" w:rsidRDefault="00C335E4" w:rsidP="002B089D">
      <w:pPr>
        <w:jc w:val="both"/>
        <w:rPr>
          <w:sz w:val="21"/>
          <w:szCs w:val="21"/>
        </w:rPr>
      </w:pPr>
    </w:p>
    <w:p w:rsidR="00C335E4" w:rsidRPr="00DE5BBC" w:rsidRDefault="00C335E4" w:rsidP="002B089D">
      <w:pPr>
        <w:jc w:val="both"/>
        <w:rPr>
          <w:sz w:val="21"/>
          <w:szCs w:val="21"/>
        </w:rPr>
      </w:pPr>
    </w:p>
    <w:p w:rsidR="00B166BB" w:rsidRDefault="00B166BB"/>
    <w:sectPr w:rsidR="00B166BB" w:rsidSect="00F7746C">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89D"/>
    <w:rsid w:val="00032C55"/>
    <w:rsid w:val="00102722"/>
    <w:rsid w:val="00136E22"/>
    <w:rsid w:val="0014086E"/>
    <w:rsid w:val="00151FB8"/>
    <w:rsid w:val="00164A26"/>
    <w:rsid w:val="0017687D"/>
    <w:rsid w:val="00194D61"/>
    <w:rsid w:val="001B5822"/>
    <w:rsid w:val="001F20C4"/>
    <w:rsid w:val="00216B62"/>
    <w:rsid w:val="00264306"/>
    <w:rsid w:val="002875D6"/>
    <w:rsid w:val="002B089D"/>
    <w:rsid w:val="002C43BB"/>
    <w:rsid w:val="002C7B04"/>
    <w:rsid w:val="0030169D"/>
    <w:rsid w:val="00326A71"/>
    <w:rsid w:val="003A6877"/>
    <w:rsid w:val="003F7602"/>
    <w:rsid w:val="004117D5"/>
    <w:rsid w:val="00434315"/>
    <w:rsid w:val="004F39D9"/>
    <w:rsid w:val="00511B69"/>
    <w:rsid w:val="0057114F"/>
    <w:rsid w:val="006260FD"/>
    <w:rsid w:val="006B047F"/>
    <w:rsid w:val="006C1131"/>
    <w:rsid w:val="007708DE"/>
    <w:rsid w:val="007929A6"/>
    <w:rsid w:val="007B6F00"/>
    <w:rsid w:val="00825681"/>
    <w:rsid w:val="00830187"/>
    <w:rsid w:val="00863590"/>
    <w:rsid w:val="00874EA6"/>
    <w:rsid w:val="00885F07"/>
    <w:rsid w:val="008977B9"/>
    <w:rsid w:val="008A55FF"/>
    <w:rsid w:val="008E1C92"/>
    <w:rsid w:val="00937B84"/>
    <w:rsid w:val="009C0F43"/>
    <w:rsid w:val="00A374DC"/>
    <w:rsid w:val="00A37688"/>
    <w:rsid w:val="00A74116"/>
    <w:rsid w:val="00A77F92"/>
    <w:rsid w:val="00AD20FF"/>
    <w:rsid w:val="00B166BB"/>
    <w:rsid w:val="00B57C28"/>
    <w:rsid w:val="00B92656"/>
    <w:rsid w:val="00BD2A27"/>
    <w:rsid w:val="00C277E2"/>
    <w:rsid w:val="00C335E4"/>
    <w:rsid w:val="00C64E0F"/>
    <w:rsid w:val="00C71CEF"/>
    <w:rsid w:val="00C7355A"/>
    <w:rsid w:val="00C76CE5"/>
    <w:rsid w:val="00C80D38"/>
    <w:rsid w:val="00C84014"/>
    <w:rsid w:val="00CA130D"/>
    <w:rsid w:val="00CB6A15"/>
    <w:rsid w:val="00D84A9B"/>
    <w:rsid w:val="00DE5BBC"/>
    <w:rsid w:val="00E62AFC"/>
    <w:rsid w:val="00ED33EC"/>
    <w:rsid w:val="00EE2589"/>
    <w:rsid w:val="00EE3705"/>
    <w:rsid w:val="00F06F64"/>
    <w:rsid w:val="00F1060F"/>
    <w:rsid w:val="00F11AD9"/>
    <w:rsid w:val="00FB1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4444E3-45F0-4446-9CAD-F55A644E4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89D"/>
    <w:pPr>
      <w:spacing w:after="0" w:line="240" w:lineRule="auto"/>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2361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State of Ohio</Company>
  <LinksUpToDate>false</LinksUpToDate>
  <CharactersWithSpaces>2770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Benza</dc:creator>
  <cp:lastModifiedBy>Nicholson, Katharine</cp:lastModifiedBy>
  <cp:revision>2</cp:revision>
  <dcterms:created xsi:type="dcterms:W3CDTF">2017-02-15T22:23:00Z</dcterms:created>
  <dcterms:modified xsi:type="dcterms:W3CDTF">2017-02-15T22:23:00Z</dcterms:modified>
</cp:coreProperties>
</file>