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9D" w:rsidRPr="0040582F" w:rsidRDefault="00A023C6" w:rsidP="002B089D">
      <w:pPr>
        <w:jc w:val="center"/>
        <w:rPr>
          <w:b/>
          <w:sz w:val="19"/>
          <w:szCs w:val="21"/>
          <w:u w:val="single"/>
        </w:rPr>
      </w:pPr>
      <w:bookmarkStart w:id="0" w:name="_GoBack"/>
      <w:bookmarkEnd w:id="0"/>
      <w:r>
        <w:rPr>
          <w:b/>
          <w:sz w:val="19"/>
          <w:szCs w:val="21"/>
          <w:u w:val="single"/>
        </w:rPr>
        <w:t>OCB AWARD NUMBER: 2242</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A023C6" w:rsidP="00291E8D">
            <w:pPr>
              <w:rPr>
                <w:b/>
                <w:sz w:val="20"/>
              </w:rPr>
            </w:pPr>
            <w:r>
              <w:rPr>
                <w:b/>
                <w:sz w:val="20"/>
              </w:rPr>
              <w:t>ARB SUMMARY # 2242</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2B089D" w:rsidP="00291E8D">
            <w:pPr>
              <w:rPr>
                <w:b/>
                <w:sz w:val="20"/>
              </w:rPr>
            </w:pPr>
            <w:r w:rsidRPr="0040582F">
              <w:rPr>
                <w:b/>
                <w:sz w:val="20"/>
              </w:rPr>
              <w:t>DAVID LONG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482EF8" w:rsidRPr="0040582F" w:rsidRDefault="00A023C6" w:rsidP="00482EF8">
            <w:pPr>
              <w:rPr>
                <w:b/>
                <w:sz w:val="20"/>
              </w:rPr>
            </w:pPr>
            <w:r>
              <w:rPr>
                <w:b/>
                <w:sz w:val="20"/>
              </w:rPr>
              <w:t>25-18-20121007-0010-05-02</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A023C6" w:rsidP="00327105">
            <w:pPr>
              <w:ind w:left="432" w:hanging="432"/>
              <w:rPr>
                <w:b/>
                <w:sz w:val="20"/>
              </w:rPr>
            </w:pPr>
            <w:r>
              <w:rPr>
                <w:b/>
                <w:sz w:val="20"/>
              </w:rPr>
              <w:t>Ohio Department of Natural Resources</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A023C6" w:rsidP="00291E8D">
            <w:pPr>
              <w:ind w:left="432" w:hanging="432"/>
              <w:rPr>
                <w:b/>
                <w:sz w:val="20"/>
              </w:rPr>
            </w:pPr>
            <w:r>
              <w:rPr>
                <w:b/>
                <w:sz w:val="20"/>
              </w:rPr>
              <w:t>FOP</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A023C6" w:rsidP="00291E8D">
            <w:pPr>
              <w:ind w:left="432" w:hanging="432"/>
              <w:rPr>
                <w:b/>
                <w:sz w:val="20"/>
              </w:rPr>
            </w:pPr>
            <w:r>
              <w:rPr>
                <w:b/>
                <w:sz w:val="20"/>
              </w:rPr>
              <w:t>Susan Grody Ruben</w:t>
            </w:r>
            <w:r w:rsidR="00961368">
              <w:rPr>
                <w:b/>
                <w:sz w:val="20"/>
              </w:rPr>
              <w:t xml:space="preserve"> </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A023C6" w:rsidP="00291E8D">
            <w:pPr>
              <w:ind w:left="432" w:hanging="432"/>
              <w:rPr>
                <w:b/>
                <w:sz w:val="20"/>
              </w:rPr>
            </w:pPr>
            <w:r>
              <w:rPr>
                <w:b/>
                <w:sz w:val="20"/>
              </w:rPr>
              <w:t>Matthew Roberts</w:t>
            </w:r>
            <w:r w:rsidR="00032051">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A023C6" w:rsidP="00250FDB">
            <w:pPr>
              <w:ind w:left="432" w:hanging="432"/>
              <w:rPr>
                <w:b/>
                <w:sz w:val="20"/>
              </w:rPr>
            </w:pPr>
            <w:proofErr w:type="spellStart"/>
            <w:r>
              <w:rPr>
                <w:b/>
                <w:sz w:val="20"/>
              </w:rPr>
              <w:t>Kandie</w:t>
            </w:r>
            <w:proofErr w:type="spellEnd"/>
            <w:r>
              <w:rPr>
                <w:b/>
                <w:sz w:val="20"/>
              </w:rPr>
              <w:t xml:space="preserve"> L. Carson</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A023C6" w:rsidP="00961368">
            <w:pPr>
              <w:ind w:left="432" w:hanging="432"/>
              <w:rPr>
                <w:b/>
                <w:sz w:val="20"/>
              </w:rPr>
            </w:pPr>
            <w:r>
              <w:rPr>
                <w:b/>
                <w:sz w:val="20"/>
              </w:rPr>
              <w:t>Paul L. Cox</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A023C6" w:rsidP="00FA3840">
            <w:pPr>
              <w:ind w:left="432" w:hanging="432"/>
              <w:rPr>
                <w:b/>
                <w:sz w:val="20"/>
              </w:rPr>
            </w:pPr>
            <w:r>
              <w:rPr>
                <w:b/>
                <w:sz w:val="20"/>
              </w:rPr>
              <w:t>10-24-2013 and 12-9-2013</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A023C6" w:rsidP="00291E8D">
            <w:pPr>
              <w:ind w:left="432" w:hanging="432"/>
              <w:rPr>
                <w:b/>
                <w:sz w:val="20"/>
              </w:rPr>
            </w:pPr>
            <w:r>
              <w:rPr>
                <w:b/>
                <w:sz w:val="20"/>
              </w:rPr>
              <w:t>3-6-2014</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482EF8" w:rsidP="00291E8D">
            <w:pPr>
              <w:ind w:left="432" w:hanging="432"/>
              <w:rPr>
                <w:b/>
                <w:sz w:val="20"/>
              </w:rPr>
            </w:pPr>
            <w:r>
              <w:rPr>
                <w:b/>
                <w:sz w:val="20"/>
              </w:rPr>
              <w:t>GRANTED</w:t>
            </w:r>
            <w:r w:rsidR="002B089D">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0E75AE" w:rsidP="00FA20D3">
            <w:pPr>
              <w:ind w:left="432" w:hanging="432"/>
              <w:rPr>
                <w:b/>
                <w:sz w:val="20"/>
              </w:rPr>
            </w:pPr>
            <w:r>
              <w:rPr>
                <w:b/>
                <w:sz w:val="20"/>
              </w:rPr>
              <w:t>Article</w:t>
            </w:r>
            <w:r w:rsidR="00A023C6">
              <w:rPr>
                <w:b/>
                <w:sz w:val="20"/>
              </w:rPr>
              <w:t xml:space="preserve"> 19.01</w:t>
            </w:r>
            <w:r w:rsidR="007B2073">
              <w:rPr>
                <w:b/>
                <w:sz w:val="20"/>
              </w:rPr>
              <w:t xml:space="preserve"> </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Default="00327105" w:rsidP="000861A8">
            <w:pPr>
              <w:ind w:left="409" w:hanging="409"/>
              <w:rPr>
                <w:b/>
                <w:sz w:val="20"/>
              </w:rPr>
            </w:pPr>
            <w:r>
              <w:rPr>
                <w:b/>
                <w:sz w:val="20"/>
              </w:rPr>
              <w:t>11</w:t>
            </w:r>
            <w:r w:rsidR="00A023C6">
              <w:rPr>
                <w:b/>
                <w:sz w:val="20"/>
              </w:rPr>
              <w:t>8.01</w:t>
            </w:r>
            <w:r w:rsidR="00482EF8">
              <w:rPr>
                <w:b/>
                <w:sz w:val="20"/>
              </w:rPr>
              <w:t>-</w:t>
            </w:r>
            <w:r w:rsidR="00A023C6">
              <w:rPr>
                <w:b/>
                <w:sz w:val="20"/>
              </w:rPr>
              <w:t xml:space="preserve">Discipline-In General </w:t>
            </w:r>
            <w:r w:rsidR="00F01A1D">
              <w:rPr>
                <w:b/>
                <w:sz w:val="20"/>
              </w:rPr>
              <w:t xml:space="preserve"> </w:t>
            </w:r>
          </w:p>
          <w:p w:rsidR="002B089D" w:rsidRPr="0040582F" w:rsidRDefault="002B089D" w:rsidP="00291E8D">
            <w:pPr>
              <w:ind w:left="319" w:hanging="342"/>
              <w:rPr>
                <w:b/>
                <w:sz w:val="20"/>
              </w:rPr>
            </w:pPr>
            <w:r>
              <w:rPr>
                <w:b/>
                <w:sz w:val="20"/>
              </w:rPr>
              <w:t xml:space="preserve"> </w:t>
            </w:r>
          </w:p>
        </w:tc>
      </w:tr>
    </w:tbl>
    <w:p w:rsidR="00BD00DB" w:rsidRPr="00BD00DB" w:rsidRDefault="002B089D" w:rsidP="00BD00DB">
      <w:pPr>
        <w:jc w:val="both"/>
        <w:rPr>
          <w:b/>
          <w:sz w:val="21"/>
          <w:szCs w:val="21"/>
        </w:rPr>
      </w:pPr>
      <w:r w:rsidRPr="00772468">
        <w:rPr>
          <w:b/>
          <w:sz w:val="21"/>
          <w:szCs w:val="21"/>
        </w:rPr>
        <w:t xml:space="preserve">HOLDING: Grievance </w:t>
      </w:r>
      <w:r w:rsidR="00194330">
        <w:rPr>
          <w:b/>
          <w:sz w:val="21"/>
          <w:szCs w:val="21"/>
        </w:rPr>
        <w:t>GRANTED</w:t>
      </w:r>
      <w:r w:rsidR="00FA3840">
        <w:rPr>
          <w:b/>
          <w:sz w:val="21"/>
          <w:szCs w:val="21"/>
        </w:rPr>
        <w:t>.</w:t>
      </w:r>
      <w:r w:rsidR="00782184" w:rsidRPr="00782184">
        <w:rPr>
          <w:b/>
          <w:sz w:val="21"/>
          <w:szCs w:val="21"/>
        </w:rPr>
        <w:t xml:space="preserve"> </w:t>
      </w:r>
      <w:r w:rsidR="008131BC" w:rsidRPr="008131BC">
        <w:rPr>
          <w:b/>
          <w:sz w:val="21"/>
          <w:szCs w:val="21"/>
        </w:rPr>
        <w:t xml:space="preserve">Since the Grievant was instructed to report “straight 8’s,” the Grievant did not “willfully falsify” his timesheets. </w:t>
      </w:r>
      <w:r w:rsidR="008131BC">
        <w:rPr>
          <w:b/>
          <w:sz w:val="21"/>
          <w:szCs w:val="21"/>
        </w:rPr>
        <w:t>Accordingly, the State did not have just cause to remove the Grievant from his position.</w:t>
      </w:r>
    </w:p>
    <w:p w:rsidR="00782184" w:rsidRPr="00772468" w:rsidRDefault="00782184" w:rsidP="00782184">
      <w:pPr>
        <w:jc w:val="both"/>
        <w:rPr>
          <w:sz w:val="21"/>
          <w:szCs w:val="21"/>
        </w:rPr>
      </w:pPr>
    </w:p>
    <w:p w:rsidR="00456C5E" w:rsidRDefault="002D327B" w:rsidP="00456C5E">
      <w:pPr>
        <w:jc w:val="both"/>
        <w:rPr>
          <w:sz w:val="21"/>
          <w:szCs w:val="21"/>
        </w:rPr>
      </w:pPr>
      <w:r>
        <w:rPr>
          <w:i/>
          <w:sz w:val="21"/>
          <w:szCs w:val="21"/>
        </w:rPr>
        <w:t xml:space="preserve">Facts. </w:t>
      </w:r>
      <w:r w:rsidR="00DA17F6">
        <w:rPr>
          <w:sz w:val="21"/>
          <w:szCs w:val="21"/>
        </w:rPr>
        <w:t xml:space="preserve">In response to a citizen complaint, the Ohio Office of the Inspector General (OIG) administered an investigation </w:t>
      </w:r>
      <w:r w:rsidR="00824860">
        <w:rPr>
          <w:sz w:val="21"/>
          <w:szCs w:val="21"/>
        </w:rPr>
        <w:t>regarding inappropriate behavior</w:t>
      </w:r>
      <w:r w:rsidR="0036584E">
        <w:rPr>
          <w:sz w:val="21"/>
          <w:szCs w:val="21"/>
        </w:rPr>
        <w:t xml:space="preserve"> </w:t>
      </w:r>
      <w:r w:rsidR="008131BC">
        <w:rPr>
          <w:sz w:val="21"/>
          <w:szCs w:val="21"/>
        </w:rPr>
        <w:t xml:space="preserve">by Wildlife Officers </w:t>
      </w:r>
      <w:r w:rsidR="0036584E">
        <w:rPr>
          <w:sz w:val="21"/>
          <w:szCs w:val="21"/>
        </w:rPr>
        <w:t>on work time</w:t>
      </w:r>
      <w:r w:rsidR="008131BC">
        <w:rPr>
          <w:sz w:val="21"/>
          <w:szCs w:val="21"/>
        </w:rPr>
        <w:t xml:space="preserve">. Specifically, </w:t>
      </w:r>
      <w:r w:rsidR="00DA17F6">
        <w:rPr>
          <w:sz w:val="21"/>
          <w:szCs w:val="21"/>
        </w:rPr>
        <w:t xml:space="preserve">OIG’s report determined that the Grievant hunted while on duty. </w:t>
      </w:r>
      <w:r>
        <w:rPr>
          <w:sz w:val="21"/>
          <w:szCs w:val="21"/>
        </w:rPr>
        <w:t>In deciding the Grievant’s fate, O</w:t>
      </w:r>
      <w:r w:rsidR="00DA17F6">
        <w:rPr>
          <w:sz w:val="21"/>
          <w:szCs w:val="21"/>
        </w:rPr>
        <w:t>DNR</w:t>
      </w:r>
      <w:r>
        <w:rPr>
          <w:sz w:val="21"/>
          <w:szCs w:val="21"/>
        </w:rPr>
        <w:t xml:space="preserve"> mainly </w:t>
      </w:r>
      <w:r w:rsidR="00DA17F6">
        <w:rPr>
          <w:sz w:val="21"/>
          <w:szCs w:val="21"/>
        </w:rPr>
        <w:t xml:space="preserve">relied upon </w:t>
      </w:r>
      <w:r>
        <w:rPr>
          <w:sz w:val="21"/>
          <w:szCs w:val="21"/>
        </w:rPr>
        <w:t>this</w:t>
      </w:r>
      <w:r w:rsidR="00DA17F6">
        <w:rPr>
          <w:sz w:val="21"/>
          <w:szCs w:val="21"/>
        </w:rPr>
        <w:t xml:space="preserve"> imperfect OIG report. </w:t>
      </w:r>
      <w:r w:rsidR="0036584E">
        <w:rPr>
          <w:sz w:val="21"/>
          <w:szCs w:val="21"/>
        </w:rPr>
        <w:t>And based this reliance</w:t>
      </w:r>
      <w:r w:rsidR="00DA17F6">
        <w:rPr>
          <w:sz w:val="21"/>
          <w:szCs w:val="21"/>
        </w:rPr>
        <w:t xml:space="preserve">, ODNR removed the Grievant from his position.   </w:t>
      </w:r>
      <w:r w:rsidR="00835A5D">
        <w:rPr>
          <w:sz w:val="21"/>
          <w:szCs w:val="21"/>
        </w:rPr>
        <w:t xml:space="preserve"> </w:t>
      </w:r>
    </w:p>
    <w:p w:rsidR="00DE1F03" w:rsidRDefault="00DE1F03" w:rsidP="00DB7D16">
      <w:pPr>
        <w:jc w:val="both"/>
        <w:rPr>
          <w:sz w:val="21"/>
          <w:szCs w:val="21"/>
        </w:rPr>
      </w:pPr>
    </w:p>
    <w:p w:rsidR="00A023C6" w:rsidRDefault="002D327B" w:rsidP="00DB7D16">
      <w:pPr>
        <w:jc w:val="both"/>
        <w:rPr>
          <w:sz w:val="21"/>
          <w:szCs w:val="21"/>
        </w:rPr>
      </w:pPr>
      <w:r w:rsidRPr="002D327B">
        <w:rPr>
          <w:i/>
          <w:sz w:val="21"/>
          <w:szCs w:val="21"/>
        </w:rPr>
        <w:t>The Employer’s Position</w:t>
      </w:r>
      <w:r>
        <w:rPr>
          <w:sz w:val="21"/>
          <w:szCs w:val="21"/>
        </w:rPr>
        <w:t>. An Officer hunting while on duty</w:t>
      </w:r>
      <w:r w:rsidR="00CC2A65">
        <w:rPr>
          <w:sz w:val="21"/>
          <w:szCs w:val="21"/>
        </w:rPr>
        <w:t xml:space="preserve"> discredit</w:t>
      </w:r>
      <w:r>
        <w:rPr>
          <w:sz w:val="21"/>
          <w:szCs w:val="21"/>
        </w:rPr>
        <w:t>s</w:t>
      </w:r>
      <w:r w:rsidR="00CC2A65">
        <w:rPr>
          <w:sz w:val="21"/>
          <w:szCs w:val="21"/>
        </w:rPr>
        <w:t xml:space="preserve"> the agency. </w:t>
      </w:r>
      <w:r>
        <w:rPr>
          <w:sz w:val="21"/>
          <w:szCs w:val="21"/>
        </w:rPr>
        <w:t xml:space="preserve">Accurate timekeeping is essential in maintaining public trust. Dishonestly reporting “straight 8’s” clearly violates that public confidence. Further, reporting “straight 8’s” is not an established past practice. </w:t>
      </w:r>
      <w:r w:rsidR="00CC2A65">
        <w:rPr>
          <w:sz w:val="21"/>
          <w:szCs w:val="21"/>
        </w:rPr>
        <w:t xml:space="preserve">Ample training was provided to the Grievant regarding this issue. And the Grievant should have known that his actions were unethical. </w:t>
      </w:r>
      <w:r w:rsidR="008131BC">
        <w:rPr>
          <w:sz w:val="21"/>
          <w:szCs w:val="21"/>
        </w:rPr>
        <w:t>T</w:t>
      </w:r>
      <w:r w:rsidR="00CC2A65">
        <w:rPr>
          <w:sz w:val="21"/>
          <w:szCs w:val="21"/>
        </w:rPr>
        <w:t>he Union</w:t>
      </w:r>
      <w:r w:rsidR="008131BC">
        <w:rPr>
          <w:sz w:val="21"/>
          <w:szCs w:val="21"/>
        </w:rPr>
        <w:t xml:space="preserve">, thus, </w:t>
      </w:r>
      <w:r w:rsidR="00CC2A65">
        <w:rPr>
          <w:sz w:val="21"/>
          <w:szCs w:val="21"/>
        </w:rPr>
        <w:t xml:space="preserve">failed to meet its burden. </w:t>
      </w:r>
    </w:p>
    <w:p w:rsidR="00CC2A65" w:rsidRDefault="00CC2A65" w:rsidP="00DB7D16">
      <w:pPr>
        <w:jc w:val="both"/>
        <w:rPr>
          <w:sz w:val="21"/>
          <w:szCs w:val="21"/>
        </w:rPr>
      </w:pPr>
    </w:p>
    <w:p w:rsidR="00194330" w:rsidRDefault="002D327B" w:rsidP="00DB7D16">
      <w:pPr>
        <w:jc w:val="both"/>
        <w:rPr>
          <w:sz w:val="21"/>
          <w:szCs w:val="21"/>
        </w:rPr>
      </w:pPr>
      <w:r>
        <w:rPr>
          <w:i/>
          <w:sz w:val="21"/>
          <w:szCs w:val="21"/>
        </w:rPr>
        <w:t xml:space="preserve">The Union’s Position. </w:t>
      </w:r>
      <w:r w:rsidR="001F5DAC">
        <w:rPr>
          <w:sz w:val="21"/>
          <w:szCs w:val="21"/>
        </w:rPr>
        <w:t>T</w:t>
      </w:r>
      <w:r w:rsidR="0026765C">
        <w:rPr>
          <w:sz w:val="21"/>
          <w:szCs w:val="21"/>
        </w:rPr>
        <w:t>he Empl</w:t>
      </w:r>
      <w:r w:rsidR="00605DB3">
        <w:rPr>
          <w:sz w:val="21"/>
          <w:szCs w:val="21"/>
        </w:rPr>
        <w:t>oyer failed to meet its burden, as t</w:t>
      </w:r>
      <w:r w:rsidR="0026765C">
        <w:rPr>
          <w:sz w:val="21"/>
          <w:szCs w:val="21"/>
        </w:rPr>
        <w:t xml:space="preserve">he Grievant made no attempt to deceive the State. For thirty years, ODNR employees have reported “straight 8’s” regardless of their actual time worked. </w:t>
      </w:r>
      <w:r w:rsidR="001F5DAC">
        <w:rPr>
          <w:sz w:val="21"/>
          <w:szCs w:val="21"/>
        </w:rPr>
        <w:t>A</w:t>
      </w:r>
      <w:r w:rsidR="00605DB3">
        <w:rPr>
          <w:sz w:val="21"/>
          <w:szCs w:val="21"/>
        </w:rPr>
        <w:t>n officer could work fifteen hours one</w:t>
      </w:r>
      <w:r w:rsidR="00C143CB">
        <w:rPr>
          <w:sz w:val="21"/>
          <w:szCs w:val="21"/>
        </w:rPr>
        <w:t xml:space="preserve"> day and only four the next</w:t>
      </w:r>
      <w:r w:rsidR="001F5DAC">
        <w:rPr>
          <w:sz w:val="21"/>
          <w:szCs w:val="21"/>
        </w:rPr>
        <w:t xml:space="preserve"> day</w:t>
      </w:r>
      <w:r w:rsidR="00C143CB">
        <w:rPr>
          <w:sz w:val="21"/>
          <w:szCs w:val="21"/>
        </w:rPr>
        <w:t xml:space="preserve"> because </w:t>
      </w:r>
      <w:r w:rsidR="0026765C">
        <w:rPr>
          <w:sz w:val="21"/>
          <w:szCs w:val="21"/>
        </w:rPr>
        <w:t xml:space="preserve">Wildlife Officers are basically on duty 24/7. Flextime, thus, is a necessity. </w:t>
      </w:r>
      <w:r w:rsidR="001F5DAC">
        <w:rPr>
          <w:sz w:val="21"/>
          <w:szCs w:val="21"/>
        </w:rPr>
        <w:t>Concomitantly, t</w:t>
      </w:r>
      <w:r w:rsidR="0026765C">
        <w:rPr>
          <w:sz w:val="21"/>
          <w:szCs w:val="21"/>
        </w:rPr>
        <w:t xml:space="preserve">he Grievant actually worked more hours than he reported. </w:t>
      </w:r>
      <w:r w:rsidR="00C143CB">
        <w:rPr>
          <w:sz w:val="21"/>
          <w:szCs w:val="21"/>
        </w:rPr>
        <w:t>Some weeks, the Grievant worked over sixty hours</w:t>
      </w:r>
      <w:r w:rsidR="001F5DAC">
        <w:rPr>
          <w:sz w:val="21"/>
          <w:szCs w:val="21"/>
        </w:rPr>
        <w:t>, while only reporting</w:t>
      </w:r>
      <w:r w:rsidR="00C143CB">
        <w:rPr>
          <w:sz w:val="21"/>
          <w:szCs w:val="21"/>
        </w:rPr>
        <w:t xml:space="preserve"> “straight 8’s.” For all these reasons, the State did not have just cause to remove the employee.  </w:t>
      </w:r>
      <w:r w:rsidR="0026765C">
        <w:rPr>
          <w:sz w:val="21"/>
          <w:szCs w:val="21"/>
        </w:rPr>
        <w:t xml:space="preserve">  </w:t>
      </w:r>
    </w:p>
    <w:p w:rsidR="00A023C6" w:rsidRDefault="00A023C6" w:rsidP="00DB7D16">
      <w:pPr>
        <w:jc w:val="both"/>
        <w:rPr>
          <w:sz w:val="21"/>
          <w:szCs w:val="21"/>
        </w:rPr>
      </w:pPr>
    </w:p>
    <w:p w:rsidR="00B166BB" w:rsidRPr="00772468" w:rsidRDefault="002D327B" w:rsidP="00DB7D16">
      <w:pPr>
        <w:jc w:val="both"/>
        <w:rPr>
          <w:sz w:val="21"/>
          <w:szCs w:val="21"/>
        </w:rPr>
      </w:pPr>
      <w:r>
        <w:rPr>
          <w:i/>
          <w:sz w:val="21"/>
          <w:szCs w:val="21"/>
        </w:rPr>
        <w:t xml:space="preserve">The Arbitrator’s Decision. </w:t>
      </w:r>
      <w:r w:rsidR="008131BC">
        <w:rPr>
          <w:sz w:val="21"/>
          <w:szCs w:val="21"/>
        </w:rPr>
        <w:t xml:space="preserve">Since the Grievant was instructed to report “straight 8’s,” the Grievant did not “willfully falsify” his timesheets. In fact, the record shows that the Grievant worked more hours than he was paid for. Accordingly, “it would be fundamentally unjust…to hold the Grievant to a standard that did not get communicated to him until after the days in question.” The Arbitrator granted the grievance. </w:t>
      </w:r>
    </w:p>
    <w:sectPr w:rsidR="00B166BB" w:rsidRPr="00772468"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9D"/>
    <w:rsid w:val="00022E82"/>
    <w:rsid w:val="000243CC"/>
    <w:rsid w:val="00032051"/>
    <w:rsid w:val="00061A38"/>
    <w:rsid w:val="00065257"/>
    <w:rsid w:val="000658EA"/>
    <w:rsid w:val="000861A8"/>
    <w:rsid w:val="000878F7"/>
    <w:rsid w:val="000A457B"/>
    <w:rsid w:val="000A6343"/>
    <w:rsid w:val="000E75AE"/>
    <w:rsid w:val="00101A33"/>
    <w:rsid w:val="00102722"/>
    <w:rsid w:val="00106A99"/>
    <w:rsid w:val="001222CD"/>
    <w:rsid w:val="00140122"/>
    <w:rsid w:val="00151FB8"/>
    <w:rsid w:val="001607D7"/>
    <w:rsid w:val="001619E2"/>
    <w:rsid w:val="00162B00"/>
    <w:rsid w:val="00162D22"/>
    <w:rsid w:val="0018607A"/>
    <w:rsid w:val="00194330"/>
    <w:rsid w:val="001A0B1B"/>
    <w:rsid w:val="001B5822"/>
    <w:rsid w:val="001C5153"/>
    <w:rsid w:val="001C54BE"/>
    <w:rsid w:val="001D1BAC"/>
    <w:rsid w:val="001F5DAC"/>
    <w:rsid w:val="002134F6"/>
    <w:rsid w:val="002140B9"/>
    <w:rsid w:val="00225E92"/>
    <w:rsid w:val="002347C0"/>
    <w:rsid w:val="0024064D"/>
    <w:rsid w:val="00250FDB"/>
    <w:rsid w:val="00264306"/>
    <w:rsid w:val="00264BF5"/>
    <w:rsid w:val="0026765C"/>
    <w:rsid w:val="002723B2"/>
    <w:rsid w:val="002B089D"/>
    <w:rsid w:val="002D327B"/>
    <w:rsid w:val="002D733A"/>
    <w:rsid w:val="002E507B"/>
    <w:rsid w:val="002E6958"/>
    <w:rsid w:val="00301AC3"/>
    <w:rsid w:val="003167B0"/>
    <w:rsid w:val="00326A71"/>
    <w:rsid w:val="00327105"/>
    <w:rsid w:val="00333CAB"/>
    <w:rsid w:val="00346F0D"/>
    <w:rsid w:val="003536C5"/>
    <w:rsid w:val="0036584E"/>
    <w:rsid w:val="00367A24"/>
    <w:rsid w:val="003A6877"/>
    <w:rsid w:val="003B4B76"/>
    <w:rsid w:val="003D0BFD"/>
    <w:rsid w:val="003E435E"/>
    <w:rsid w:val="00403038"/>
    <w:rsid w:val="00420B9D"/>
    <w:rsid w:val="00425BD3"/>
    <w:rsid w:val="00434315"/>
    <w:rsid w:val="00453302"/>
    <w:rsid w:val="004543FE"/>
    <w:rsid w:val="00456C5E"/>
    <w:rsid w:val="00482ED3"/>
    <w:rsid w:val="00482EF8"/>
    <w:rsid w:val="004858A8"/>
    <w:rsid w:val="004B0C70"/>
    <w:rsid w:val="004C1F7D"/>
    <w:rsid w:val="004F7DFB"/>
    <w:rsid w:val="00503B61"/>
    <w:rsid w:val="00506660"/>
    <w:rsid w:val="00515348"/>
    <w:rsid w:val="00527B59"/>
    <w:rsid w:val="005337B3"/>
    <w:rsid w:val="0056286D"/>
    <w:rsid w:val="0057732D"/>
    <w:rsid w:val="00577710"/>
    <w:rsid w:val="005A12D5"/>
    <w:rsid w:val="00601F72"/>
    <w:rsid w:val="00605DB3"/>
    <w:rsid w:val="00611B55"/>
    <w:rsid w:val="0061279E"/>
    <w:rsid w:val="00621614"/>
    <w:rsid w:val="00650718"/>
    <w:rsid w:val="00660396"/>
    <w:rsid w:val="00666787"/>
    <w:rsid w:val="00691199"/>
    <w:rsid w:val="00695F57"/>
    <w:rsid w:val="006B047F"/>
    <w:rsid w:val="006B08D8"/>
    <w:rsid w:val="006C1131"/>
    <w:rsid w:val="006D05EB"/>
    <w:rsid w:val="006D5712"/>
    <w:rsid w:val="006F7563"/>
    <w:rsid w:val="00706C77"/>
    <w:rsid w:val="00761931"/>
    <w:rsid w:val="0076543D"/>
    <w:rsid w:val="00772468"/>
    <w:rsid w:val="00782184"/>
    <w:rsid w:val="007929A6"/>
    <w:rsid w:val="007B2073"/>
    <w:rsid w:val="007C6AEA"/>
    <w:rsid w:val="007F0BDC"/>
    <w:rsid w:val="008131BC"/>
    <w:rsid w:val="00824860"/>
    <w:rsid w:val="00830187"/>
    <w:rsid w:val="00835A5D"/>
    <w:rsid w:val="00851A95"/>
    <w:rsid w:val="00864148"/>
    <w:rsid w:val="00867BA1"/>
    <w:rsid w:val="00874EA6"/>
    <w:rsid w:val="00890632"/>
    <w:rsid w:val="008A4825"/>
    <w:rsid w:val="008A55FF"/>
    <w:rsid w:val="008B05D5"/>
    <w:rsid w:val="008C1057"/>
    <w:rsid w:val="00901F01"/>
    <w:rsid w:val="009032E9"/>
    <w:rsid w:val="00931C10"/>
    <w:rsid w:val="00937B84"/>
    <w:rsid w:val="00961368"/>
    <w:rsid w:val="00966A97"/>
    <w:rsid w:val="009A30FC"/>
    <w:rsid w:val="009A4C4E"/>
    <w:rsid w:val="009B641A"/>
    <w:rsid w:val="009C5D69"/>
    <w:rsid w:val="009F2B06"/>
    <w:rsid w:val="00A001C4"/>
    <w:rsid w:val="00A023C6"/>
    <w:rsid w:val="00A40B10"/>
    <w:rsid w:val="00A579A0"/>
    <w:rsid w:val="00A64A58"/>
    <w:rsid w:val="00A77F92"/>
    <w:rsid w:val="00AA2230"/>
    <w:rsid w:val="00AB2883"/>
    <w:rsid w:val="00AF14B7"/>
    <w:rsid w:val="00AF26A6"/>
    <w:rsid w:val="00B166BB"/>
    <w:rsid w:val="00B465D9"/>
    <w:rsid w:val="00B54566"/>
    <w:rsid w:val="00B66742"/>
    <w:rsid w:val="00BC5C96"/>
    <w:rsid w:val="00BD00DB"/>
    <w:rsid w:val="00BD4A3F"/>
    <w:rsid w:val="00C0495E"/>
    <w:rsid w:val="00C12F15"/>
    <w:rsid w:val="00C143CB"/>
    <w:rsid w:val="00C631CC"/>
    <w:rsid w:val="00C820F7"/>
    <w:rsid w:val="00CC2A65"/>
    <w:rsid w:val="00CC57A8"/>
    <w:rsid w:val="00CD3C79"/>
    <w:rsid w:val="00D12194"/>
    <w:rsid w:val="00D122A4"/>
    <w:rsid w:val="00D15E4C"/>
    <w:rsid w:val="00D21F9E"/>
    <w:rsid w:val="00D23AC5"/>
    <w:rsid w:val="00D23BD1"/>
    <w:rsid w:val="00D46134"/>
    <w:rsid w:val="00D65755"/>
    <w:rsid w:val="00DA03C0"/>
    <w:rsid w:val="00DA17F6"/>
    <w:rsid w:val="00DB2507"/>
    <w:rsid w:val="00DB7D16"/>
    <w:rsid w:val="00DE1F03"/>
    <w:rsid w:val="00DF001A"/>
    <w:rsid w:val="00E0782F"/>
    <w:rsid w:val="00E15781"/>
    <w:rsid w:val="00E247A9"/>
    <w:rsid w:val="00E54621"/>
    <w:rsid w:val="00E66C43"/>
    <w:rsid w:val="00E72E3F"/>
    <w:rsid w:val="00E769CA"/>
    <w:rsid w:val="00E82FF7"/>
    <w:rsid w:val="00E872DA"/>
    <w:rsid w:val="00E97550"/>
    <w:rsid w:val="00EA1711"/>
    <w:rsid w:val="00EB5E10"/>
    <w:rsid w:val="00EC64C6"/>
    <w:rsid w:val="00ED33EC"/>
    <w:rsid w:val="00F01A1D"/>
    <w:rsid w:val="00F102C0"/>
    <w:rsid w:val="00F20BED"/>
    <w:rsid w:val="00F62759"/>
    <w:rsid w:val="00F65094"/>
    <w:rsid w:val="00F74740"/>
    <w:rsid w:val="00F820B1"/>
    <w:rsid w:val="00F96EDD"/>
    <w:rsid w:val="00FA20D3"/>
    <w:rsid w:val="00FA3840"/>
    <w:rsid w:val="00FB1E5A"/>
    <w:rsid w:val="00FB7C1E"/>
    <w:rsid w:val="00FF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3614C9-433E-4B94-9EC2-D2C6712B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2682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Nicholson, Katharine</cp:lastModifiedBy>
  <cp:revision>2</cp:revision>
  <dcterms:created xsi:type="dcterms:W3CDTF">2017-02-17T21:21:00Z</dcterms:created>
  <dcterms:modified xsi:type="dcterms:W3CDTF">2017-02-17T21:21:00Z</dcterms:modified>
</cp:coreProperties>
</file>