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DB2507" w:rsidP="002B089D">
      <w:pPr>
        <w:jc w:val="center"/>
        <w:rPr>
          <w:b/>
          <w:sz w:val="19"/>
          <w:szCs w:val="21"/>
          <w:u w:val="single"/>
        </w:rPr>
      </w:pPr>
      <w:bookmarkStart w:id="0" w:name="_GoBack"/>
      <w:bookmarkEnd w:id="0"/>
      <w:r>
        <w:rPr>
          <w:b/>
          <w:sz w:val="19"/>
          <w:szCs w:val="21"/>
          <w:u w:val="single"/>
        </w:rPr>
        <w:t>OCB AWARD NUMBER: 2236</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DB2507" w:rsidP="00291E8D">
            <w:pPr>
              <w:rPr>
                <w:b/>
                <w:sz w:val="20"/>
              </w:rPr>
            </w:pPr>
            <w:r>
              <w:rPr>
                <w:b/>
                <w:sz w:val="20"/>
              </w:rPr>
              <w:t>ARB SUMMARY # 2236</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DB2507" w:rsidP="00FA3840">
            <w:pPr>
              <w:rPr>
                <w:b/>
                <w:sz w:val="20"/>
              </w:rPr>
            </w:pPr>
            <w:r>
              <w:rPr>
                <w:b/>
                <w:sz w:val="20"/>
              </w:rPr>
              <w:t>25-20-20121017-0002-01-</w:t>
            </w:r>
            <w:r w:rsidR="00032051">
              <w:rPr>
                <w:b/>
                <w:sz w:val="20"/>
              </w:rPr>
              <w:t>1</w:t>
            </w:r>
            <w:r>
              <w:rPr>
                <w:b/>
                <w:sz w:val="20"/>
              </w:rPr>
              <w:t>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FA3840" w:rsidP="00032051">
            <w:pPr>
              <w:ind w:left="432" w:hanging="432"/>
              <w:rPr>
                <w:b/>
                <w:sz w:val="20"/>
              </w:rPr>
            </w:pPr>
            <w:r>
              <w:rPr>
                <w:b/>
                <w:sz w:val="20"/>
              </w:rPr>
              <w:t xml:space="preserve">Department of </w:t>
            </w:r>
            <w:r w:rsidR="00DB2507">
              <w:rPr>
                <w:b/>
                <w:sz w:val="20"/>
              </w:rPr>
              <w:t>Natural Resources</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DB2507" w:rsidP="00291E8D">
            <w:pPr>
              <w:ind w:left="432" w:hanging="432"/>
              <w:rPr>
                <w:b/>
                <w:sz w:val="20"/>
              </w:rPr>
            </w:pPr>
            <w:r>
              <w:rPr>
                <w:b/>
                <w:sz w:val="20"/>
              </w:rPr>
              <w:t>OCSEA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DB2507" w:rsidP="00291E8D">
            <w:pPr>
              <w:ind w:left="432" w:hanging="432"/>
              <w:rPr>
                <w:b/>
                <w:sz w:val="20"/>
              </w:rPr>
            </w:pPr>
            <w:r>
              <w:rPr>
                <w:b/>
                <w:sz w:val="20"/>
              </w:rPr>
              <w:t>Sarah Rudolph Cole</w:t>
            </w:r>
            <w:r w:rsidR="00961368">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DB2507" w:rsidP="00291E8D">
            <w:pPr>
              <w:ind w:left="432" w:hanging="432"/>
              <w:rPr>
                <w:b/>
                <w:sz w:val="20"/>
              </w:rPr>
            </w:pPr>
            <w:r>
              <w:rPr>
                <w:b/>
                <w:sz w:val="20"/>
              </w:rPr>
              <w:t>Norman Spellman</w:t>
            </w:r>
            <w:r w:rsidR="00032051">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DB2507" w:rsidP="00250FDB">
            <w:pPr>
              <w:ind w:left="432" w:hanging="432"/>
              <w:rPr>
                <w:b/>
                <w:sz w:val="20"/>
              </w:rPr>
            </w:pPr>
            <w:proofErr w:type="spellStart"/>
            <w:r>
              <w:rPr>
                <w:b/>
                <w:sz w:val="20"/>
              </w:rPr>
              <w:t>Kandie</w:t>
            </w:r>
            <w:proofErr w:type="spellEnd"/>
            <w:r>
              <w:rPr>
                <w:b/>
                <w:sz w:val="20"/>
              </w:rPr>
              <w:t xml:space="preserve"> L. Carson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DB2507" w:rsidP="00961368">
            <w:pPr>
              <w:ind w:left="432" w:hanging="432"/>
              <w:rPr>
                <w:b/>
                <w:sz w:val="20"/>
              </w:rPr>
            </w:pPr>
            <w:r>
              <w:rPr>
                <w:b/>
                <w:sz w:val="20"/>
              </w:rPr>
              <w:t>Timothy Rippeth</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4543FE" w:rsidP="00FA3840">
            <w:pPr>
              <w:ind w:left="432" w:hanging="432"/>
              <w:rPr>
                <w:b/>
                <w:sz w:val="20"/>
              </w:rPr>
            </w:pPr>
            <w:r>
              <w:rPr>
                <w:b/>
                <w:sz w:val="20"/>
              </w:rPr>
              <w:t>1</w:t>
            </w:r>
            <w:r w:rsidR="00A579A0">
              <w:rPr>
                <w:b/>
                <w:sz w:val="20"/>
              </w:rPr>
              <w:t>-</w:t>
            </w:r>
            <w:r>
              <w:rPr>
                <w:b/>
                <w:sz w:val="20"/>
              </w:rPr>
              <w:t>5-2014</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DB2507" w:rsidP="00291E8D">
            <w:pPr>
              <w:ind w:left="432" w:hanging="432"/>
              <w:rPr>
                <w:b/>
                <w:sz w:val="20"/>
              </w:rPr>
            </w:pPr>
            <w:r>
              <w:rPr>
                <w:b/>
                <w:sz w:val="20"/>
              </w:rPr>
              <w:t>2-14</w:t>
            </w:r>
            <w:r w:rsidR="00FA3840">
              <w:rPr>
                <w:b/>
                <w:sz w:val="20"/>
              </w:rPr>
              <w:t>-2014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FA3840" w:rsidP="00291E8D">
            <w:pPr>
              <w:ind w:left="432" w:hanging="432"/>
              <w:rPr>
                <w:b/>
                <w:sz w:val="20"/>
              </w:rPr>
            </w:pPr>
            <w:r>
              <w:rPr>
                <w:b/>
                <w:sz w:val="20"/>
              </w:rPr>
              <w:t>DENIED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0E75AE" w:rsidP="00FA20D3">
            <w:pPr>
              <w:ind w:left="432" w:hanging="432"/>
              <w:rPr>
                <w:b/>
                <w:sz w:val="20"/>
              </w:rPr>
            </w:pPr>
            <w:r>
              <w:rPr>
                <w:b/>
                <w:sz w:val="20"/>
              </w:rPr>
              <w:t>Article</w:t>
            </w:r>
            <w:r w:rsidR="00DB2507">
              <w:rPr>
                <w:b/>
                <w:sz w:val="20"/>
              </w:rPr>
              <w:t>s 21 and 36</w:t>
            </w:r>
            <w:r w:rsidR="00FA3840">
              <w:rPr>
                <w:b/>
                <w:sz w:val="20"/>
              </w:rPr>
              <w:t xml:space="preserve"> </w:t>
            </w:r>
            <w:r w:rsidR="007B2073">
              <w:rPr>
                <w:b/>
                <w:sz w:val="20"/>
              </w:rPr>
              <w:t xml:space="preserve"> </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DB2507" w:rsidP="000861A8">
            <w:pPr>
              <w:ind w:left="409" w:hanging="409"/>
              <w:rPr>
                <w:b/>
                <w:sz w:val="20"/>
              </w:rPr>
            </w:pPr>
            <w:r>
              <w:rPr>
                <w:b/>
                <w:sz w:val="20"/>
              </w:rPr>
              <w:t>117</w:t>
            </w:r>
            <w:r w:rsidR="0024064D">
              <w:rPr>
                <w:b/>
                <w:sz w:val="20"/>
              </w:rPr>
              <w:t>.</w:t>
            </w:r>
            <w:r>
              <w:rPr>
                <w:b/>
                <w:sz w:val="20"/>
              </w:rPr>
              <w:t>2</w:t>
            </w:r>
            <w:r w:rsidR="0024064D">
              <w:rPr>
                <w:b/>
                <w:sz w:val="20"/>
              </w:rPr>
              <w:t>01</w:t>
            </w:r>
            <w:r w:rsidR="00961368">
              <w:rPr>
                <w:b/>
                <w:sz w:val="20"/>
              </w:rPr>
              <w:t xml:space="preserve"> </w:t>
            </w:r>
            <w:r>
              <w:rPr>
                <w:b/>
                <w:sz w:val="20"/>
              </w:rPr>
              <w:t>Seniority</w:t>
            </w:r>
            <w:r w:rsidR="0024064D">
              <w:rPr>
                <w:b/>
                <w:sz w:val="20"/>
              </w:rPr>
              <w:t>-In General</w:t>
            </w:r>
            <w:r w:rsidR="00F01A1D">
              <w:rPr>
                <w:b/>
                <w:sz w:val="20"/>
              </w:rPr>
              <w:t xml:space="preserve"> </w:t>
            </w:r>
          </w:p>
          <w:p w:rsidR="002B089D" w:rsidRPr="0040582F" w:rsidRDefault="002B089D" w:rsidP="00291E8D">
            <w:pPr>
              <w:ind w:left="319" w:hanging="342"/>
              <w:rPr>
                <w:b/>
                <w:sz w:val="20"/>
              </w:rPr>
            </w:pPr>
            <w:r>
              <w:rPr>
                <w:b/>
                <w:sz w:val="20"/>
              </w:rPr>
              <w:t xml:space="preserve"> </w:t>
            </w:r>
          </w:p>
        </w:tc>
      </w:tr>
    </w:tbl>
    <w:p w:rsidR="00101A33" w:rsidRPr="00101A33" w:rsidRDefault="002B089D" w:rsidP="00101A33">
      <w:pPr>
        <w:jc w:val="both"/>
        <w:rPr>
          <w:b/>
          <w:sz w:val="21"/>
          <w:szCs w:val="21"/>
        </w:rPr>
      </w:pPr>
      <w:r w:rsidRPr="00772468">
        <w:rPr>
          <w:b/>
          <w:sz w:val="21"/>
          <w:szCs w:val="21"/>
        </w:rPr>
        <w:t xml:space="preserve">HOLDING: Grievance </w:t>
      </w:r>
      <w:r w:rsidR="00FA3840">
        <w:rPr>
          <w:b/>
          <w:sz w:val="21"/>
          <w:szCs w:val="21"/>
        </w:rPr>
        <w:t xml:space="preserve">DENIED. </w:t>
      </w:r>
      <w:r w:rsidR="00F820B1" w:rsidRPr="00F820B1">
        <w:rPr>
          <w:b/>
          <w:sz w:val="21"/>
          <w:szCs w:val="21"/>
        </w:rPr>
        <w:t>The Grievant was not entitled to receive longevity pay and vacation benefits at the same rate he had received them prior to his removal. Grievant’s decision to receive retirement benefits triggered Article 36. His decision to retire was voluntary and the Arbitrator has no choice but to apply the CBA’s language</w:t>
      </w:r>
      <w:r w:rsidR="00F820B1">
        <w:rPr>
          <w:b/>
          <w:sz w:val="21"/>
          <w:szCs w:val="21"/>
        </w:rPr>
        <w:t>.</w:t>
      </w:r>
    </w:p>
    <w:p w:rsidR="0024064D" w:rsidRDefault="0024064D" w:rsidP="00DB7D16">
      <w:pPr>
        <w:jc w:val="both"/>
        <w:rPr>
          <w:b/>
          <w:sz w:val="21"/>
          <w:szCs w:val="21"/>
        </w:rPr>
      </w:pPr>
    </w:p>
    <w:p w:rsidR="00032051" w:rsidRDefault="00691199" w:rsidP="00DB7D16">
      <w:pPr>
        <w:jc w:val="both"/>
        <w:rPr>
          <w:sz w:val="21"/>
          <w:szCs w:val="21"/>
        </w:rPr>
      </w:pPr>
      <w:r>
        <w:rPr>
          <w:sz w:val="21"/>
          <w:szCs w:val="21"/>
        </w:rPr>
        <w:t xml:space="preserve">The </w:t>
      </w:r>
      <w:r w:rsidRPr="00772468">
        <w:rPr>
          <w:sz w:val="21"/>
          <w:szCs w:val="21"/>
        </w:rPr>
        <w:t xml:space="preserve">Grievant </w:t>
      </w:r>
      <w:r w:rsidR="004543FE">
        <w:rPr>
          <w:sz w:val="21"/>
          <w:szCs w:val="21"/>
        </w:rPr>
        <w:t>was removed from his position in February of 2012. Two days later, the Grievant applied to receive his retirement</w:t>
      </w:r>
      <w:r w:rsidR="003E435E">
        <w:rPr>
          <w:sz w:val="21"/>
          <w:szCs w:val="21"/>
        </w:rPr>
        <w:t xml:space="preserve"> benefits. After that</w:t>
      </w:r>
      <w:r w:rsidR="004543FE">
        <w:rPr>
          <w:sz w:val="21"/>
          <w:szCs w:val="21"/>
        </w:rPr>
        <w:t>, the Grievant filed a grievance against ODNR, claiming that his removal was not for just cause. Arbitrator Brookins reinstated the Grievant “without back</w:t>
      </w:r>
      <w:r w:rsidR="009F2B06">
        <w:rPr>
          <w:sz w:val="21"/>
          <w:szCs w:val="21"/>
        </w:rPr>
        <w:t>-</w:t>
      </w:r>
      <w:r w:rsidR="004543FE">
        <w:rPr>
          <w:sz w:val="21"/>
          <w:szCs w:val="21"/>
        </w:rPr>
        <w:t>pay or any other job-related benefits to which he would have been entitled but for his removal…the Grievant’s seniority shall remain undimi</w:t>
      </w:r>
      <w:r w:rsidR="009F2B06">
        <w:rPr>
          <w:sz w:val="21"/>
          <w:szCs w:val="21"/>
        </w:rPr>
        <w:t>ni</w:t>
      </w:r>
      <w:r w:rsidR="004543FE">
        <w:rPr>
          <w:sz w:val="21"/>
          <w:szCs w:val="21"/>
        </w:rPr>
        <w:t xml:space="preserve">shed, as if he were never terminated.” </w:t>
      </w:r>
      <w:r w:rsidR="009F2B06">
        <w:rPr>
          <w:sz w:val="21"/>
          <w:szCs w:val="21"/>
        </w:rPr>
        <w:t xml:space="preserve">ODNR placed the Grievant into his previous pay range and restored his benefits. Short after that, however, management determined that the Grievant was not entitled to longevity pay or vacation benefits at the same rate he had before. As a result, ODNR required </w:t>
      </w:r>
      <w:r w:rsidR="003E435E">
        <w:rPr>
          <w:sz w:val="21"/>
          <w:szCs w:val="21"/>
        </w:rPr>
        <w:t xml:space="preserve">the </w:t>
      </w:r>
      <w:r w:rsidR="009F2B06">
        <w:rPr>
          <w:sz w:val="21"/>
          <w:szCs w:val="21"/>
        </w:rPr>
        <w:t xml:space="preserve">Grievant to repay the longevity pay he had received since returning to work.  Thus, the issue in this case was: </w:t>
      </w:r>
      <w:r w:rsidR="003E435E">
        <w:rPr>
          <w:sz w:val="21"/>
          <w:szCs w:val="21"/>
        </w:rPr>
        <w:t>whether the grievant was</w:t>
      </w:r>
      <w:r w:rsidR="009F2B06">
        <w:rPr>
          <w:sz w:val="21"/>
          <w:szCs w:val="21"/>
        </w:rPr>
        <w:t xml:space="preserve"> entitled to longevity pay and vacation benefits at the same rate he had received them prior to his term</w:t>
      </w:r>
      <w:r w:rsidR="003E435E">
        <w:rPr>
          <w:sz w:val="21"/>
          <w:szCs w:val="21"/>
        </w:rPr>
        <w:t>ination, even though he retired.</w:t>
      </w:r>
    </w:p>
    <w:p w:rsidR="00DB2507" w:rsidRDefault="00DB2507" w:rsidP="00DB7D16">
      <w:pPr>
        <w:jc w:val="both"/>
        <w:rPr>
          <w:sz w:val="21"/>
          <w:szCs w:val="21"/>
        </w:rPr>
      </w:pPr>
    </w:p>
    <w:p w:rsidR="00032051" w:rsidRDefault="001C5153" w:rsidP="00DB7D16">
      <w:pPr>
        <w:jc w:val="both"/>
        <w:rPr>
          <w:sz w:val="21"/>
          <w:szCs w:val="21"/>
        </w:rPr>
      </w:pPr>
      <w:r w:rsidRPr="00772468">
        <w:rPr>
          <w:sz w:val="21"/>
          <w:szCs w:val="21"/>
        </w:rPr>
        <w:t>The Employer contended</w:t>
      </w:r>
      <w:r w:rsidR="006F7563">
        <w:rPr>
          <w:sz w:val="21"/>
          <w:szCs w:val="21"/>
        </w:rPr>
        <w:t xml:space="preserve"> that</w:t>
      </w:r>
      <w:r w:rsidRPr="00772468">
        <w:rPr>
          <w:sz w:val="21"/>
          <w:szCs w:val="21"/>
        </w:rPr>
        <w:t xml:space="preserve"> </w:t>
      </w:r>
      <w:r w:rsidR="009F2B06">
        <w:rPr>
          <w:sz w:val="21"/>
          <w:szCs w:val="21"/>
        </w:rPr>
        <w:t xml:space="preserve">the Grievant was not entitled to longevity pay or vacation </w:t>
      </w:r>
      <w:r w:rsidR="00F820B1">
        <w:rPr>
          <w:sz w:val="21"/>
          <w:szCs w:val="21"/>
        </w:rPr>
        <w:t>benefits</w:t>
      </w:r>
      <w:r w:rsidR="009F2B06">
        <w:rPr>
          <w:sz w:val="21"/>
          <w:szCs w:val="21"/>
        </w:rPr>
        <w:t xml:space="preserve"> at the same rate he had </w:t>
      </w:r>
      <w:r w:rsidR="00F820B1">
        <w:rPr>
          <w:sz w:val="21"/>
          <w:szCs w:val="21"/>
        </w:rPr>
        <w:t>received</w:t>
      </w:r>
      <w:r w:rsidR="009F2B06">
        <w:rPr>
          <w:sz w:val="21"/>
          <w:szCs w:val="21"/>
        </w:rPr>
        <w:t xml:space="preserve"> them prior to his removal. Because he </w:t>
      </w:r>
      <w:r w:rsidR="003E435E">
        <w:rPr>
          <w:sz w:val="21"/>
          <w:szCs w:val="21"/>
        </w:rPr>
        <w:t>retired from state service, once he was reinstated, he wa</w:t>
      </w:r>
      <w:r w:rsidR="009F2B06">
        <w:rPr>
          <w:sz w:val="21"/>
          <w:szCs w:val="21"/>
        </w:rPr>
        <w:t xml:space="preserve">s not entitled to have any prior service time counted toward longevity or vacation accrual. Further, no break in seniority </w:t>
      </w:r>
      <w:r w:rsidR="003E435E">
        <w:rPr>
          <w:sz w:val="21"/>
          <w:szCs w:val="21"/>
        </w:rPr>
        <w:t>is irrelevant</w:t>
      </w:r>
      <w:r w:rsidR="009F2B06">
        <w:rPr>
          <w:sz w:val="21"/>
          <w:szCs w:val="21"/>
        </w:rPr>
        <w:t xml:space="preserve"> to longevity pay or vacation benefit accrual. </w:t>
      </w:r>
    </w:p>
    <w:p w:rsidR="00DB2507" w:rsidRDefault="00DB2507" w:rsidP="00DB7D16">
      <w:pPr>
        <w:jc w:val="both"/>
        <w:rPr>
          <w:sz w:val="21"/>
          <w:szCs w:val="21"/>
        </w:rPr>
      </w:pPr>
    </w:p>
    <w:p w:rsidR="00032051" w:rsidRDefault="00E769CA" w:rsidP="00DB7D16">
      <w:pPr>
        <w:jc w:val="both"/>
        <w:rPr>
          <w:sz w:val="21"/>
          <w:szCs w:val="21"/>
        </w:rPr>
      </w:pPr>
      <w:r w:rsidRPr="00772468">
        <w:rPr>
          <w:sz w:val="21"/>
          <w:szCs w:val="21"/>
        </w:rPr>
        <w:t xml:space="preserve">The Union </w:t>
      </w:r>
      <w:r w:rsidR="002E6958" w:rsidRPr="00772468">
        <w:rPr>
          <w:sz w:val="21"/>
          <w:szCs w:val="21"/>
        </w:rPr>
        <w:t xml:space="preserve">argued </w:t>
      </w:r>
      <w:r w:rsidR="006F7563">
        <w:rPr>
          <w:sz w:val="21"/>
          <w:szCs w:val="21"/>
        </w:rPr>
        <w:t>that</w:t>
      </w:r>
      <w:r w:rsidR="00506660">
        <w:rPr>
          <w:sz w:val="21"/>
          <w:szCs w:val="21"/>
        </w:rPr>
        <w:t xml:space="preserve"> </w:t>
      </w:r>
      <w:r w:rsidR="009F2B06">
        <w:rPr>
          <w:sz w:val="21"/>
          <w:szCs w:val="21"/>
        </w:rPr>
        <w:t>the Grievant is entitled to the same longevity rate and vacation benefit accrual that he received prior to his February 2012 removal</w:t>
      </w:r>
      <w:r w:rsidR="003E435E">
        <w:rPr>
          <w:sz w:val="21"/>
          <w:szCs w:val="21"/>
        </w:rPr>
        <w:t>,</w:t>
      </w:r>
      <w:r w:rsidR="009F2B06">
        <w:rPr>
          <w:sz w:val="21"/>
          <w:szCs w:val="21"/>
        </w:rPr>
        <w:t xml:space="preserve"> since the Grievant had been reinstated to his former position with his seniority intact. The Employer erroneously treated the Grievant as a </w:t>
      </w:r>
      <w:r w:rsidR="003E435E">
        <w:rPr>
          <w:sz w:val="21"/>
          <w:szCs w:val="21"/>
        </w:rPr>
        <w:t xml:space="preserve">standard retire/rehire employee when </w:t>
      </w:r>
      <w:r w:rsidR="009F2B06">
        <w:rPr>
          <w:sz w:val="21"/>
          <w:szCs w:val="21"/>
        </w:rPr>
        <w:t>Article 36</w:t>
      </w:r>
      <w:r w:rsidR="003E435E">
        <w:rPr>
          <w:sz w:val="21"/>
          <w:szCs w:val="21"/>
        </w:rPr>
        <w:t xml:space="preserve"> did</w:t>
      </w:r>
      <w:r w:rsidR="009F2B06">
        <w:rPr>
          <w:sz w:val="21"/>
          <w:szCs w:val="21"/>
        </w:rPr>
        <w:t xml:space="preserve"> not address the Grievant’s situation. </w:t>
      </w:r>
    </w:p>
    <w:p w:rsidR="00DB2507" w:rsidRDefault="00DB2507" w:rsidP="00DB7D16">
      <w:pPr>
        <w:jc w:val="both"/>
        <w:rPr>
          <w:sz w:val="21"/>
          <w:szCs w:val="21"/>
        </w:rPr>
      </w:pPr>
    </w:p>
    <w:p w:rsidR="00B166BB" w:rsidRPr="00772468" w:rsidRDefault="00225E92" w:rsidP="00DB7D16">
      <w:pPr>
        <w:jc w:val="both"/>
        <w:rPr>
          <w:sz w:val="21"/>
          <w:szCs w:val="21"/>
        </w:rPr>
      </w:pPr>
      <w:r w:rsidRPr="00772468">
        <w:rPr>
          <w:sz w:val="21"/>
          <w:szCs w:val="21"/>
        </w:rPr>
        <w:t xml:space="preserve">The Arbitrator found </w:t>
      </w:r>
      <w:r w:rsidR="006F7563">
        <w:rPr>
          <w:sz w:val="21"/>
          <w:szCs w:val="21"/>
        </w:rPr>
        <w:t>that</w:t>
      </w:r>
      <w:r w:rsidR="00453302">
        <w:rPr>
          <w:sz w:val="21"/>
          <w:szCs w:val="21"/>
        </w:rPr>
        <w:t xml:space="preserve"> </w:t>
      </w:r>
      <w:r w:rsidR="00F820B1">
        <w:rPr>
          <w:sz w:val="21"/>
          <w:szCs w:val="21"/>
        </w:rPr>
        <w:t xml:space="preserve">the Grievant was not entitled to receive longevity pay and vacation benefits at the same rate he had received them prior to his removal. Grievant’s decision to receive retirement benefits triggered Article 36. His decision to retire was voluntary and the Arbitrator has no choice but to apply the CBA’s language. </w:t>
      </w:r>
      <w:r w:rsidR="003E435E">
        <w:rPr>
          <w:sz w:val="21"/>
          <w:szCs w:val="21"/>
        </w:rPr>
        <w:t>Further,</w:t>
      </w:r>
      <w:r w:rsidR="00F820B1">
        <w:rPr>
          <w:sz w:val="21"/>
          <w:szCs w:val="21"/>
        </w:rPr>
        <w:t xml:space="preserve"> this language precludes the State from counting prior service time toward longevity accrual or vacation benefit accrual. </w:t>
      </w:r>
    </w:p>
    <w:sectPr w:rsidR="00B166BB" w:rsidRPr="00772468"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22E82"/>
    <w:rsid w:val="000243CC"/>
    <w:rsid w:val="00032051"/>
    <w:rsid w:val="00061A38"/>
    <w:rsid w:val="000658EA"/>
    <w:rsid w:val="000861A8"/>
    <w:rsid w:val="000878F7"/>
    <w:rsid w:val="000A457B"/>
    <w:rsid w:val="000E75AE"/>
    <w:rsid w:val="00101A33"/>
    <w:rsid w:val="00102722"/>
    <w:rsid w:val="00106A99"/>
    <w:rsid w:val="00151FB8"/>
    <w:rsid w:val="001607D7"/>
    <w:rsid w:val="001619E2"/>
    <w:rsid w:val="00162B00"/>
    <w:rsid w:val="00162D22"/>
    <w:rsid w:val="0018607A"/>
    <w:rsid w:val="001A0B1B"/>
    <w:rsid w:val="001B5822"/>
    <w:rsid w:val="001C5153"/>
    <w:rsid w:val="001C54BE"/>
    <w:rsid w:val="002134F6"/>
    <w:rsid w:val="002140B9"/>
    <w:rsid w:val="00225E92"/>
    <w:rsid w:val="002347C0"/>
    <w:rsid w:val="0024064D"/>
    <w:rsid w:val="00250FDB"/>
    <w:rsid w:val="00264306"/>
    <w:rsid w:val="002723B2"/>
    <w:rsid w:val="002B089D"/>
    <w:rsid w:val="002D733A"/>
    <w:rsid w:val="002E507B"/>
    <w:rsid w:val="002E6958"/>
    <w:rsid w:val="003167B0"/>
    <w:rsid w:val="00326A71"/>
    <w:rsid w:val="00333CAB"/>
    <w:rsid w:val="003536C5"/>
    <w:rsid w:val="003A6877"/>
    <w:rsid w:val="003B4B76"/>
    <w:rsid w:val="003D0BFD"/>
    <w:rsid w:val="003E435E"/>
    <w:rsid w:val="00403038"/>
    <w:rsid w:val="00420B9D"/>
    <w:rsid w:val="00425BD3"/>
    <w:rsid w:val="00434315"/>
    <w:rsid w:val="00453302"/>
    <w:rsid w:val="004543FE"/>
    <w:rsid w:val="00482ED3"/>
    <w:rsid w:val="004858A8"/>
    <w:rsid w:val="004B0C70"/>
    <w:rsid w:val="004F7DFB"/>
    <w:rsid w:val="00503B61"/>
    <w:rsid w:val="00506660"/>
    <w:rsid w:val="00515348"/>
    <w:rsid w:val="00527B59"/>
    <w:rsid w:val="005337B3"/>
    <w:rsid w:val="0056286D"/>
    <w:rsid w:val="0057732D"/>
    <w:rsid w:val="00577710"/>
    <w:rsid w:val="00601F72"/>
    <w:rsid w:val="00611B55"/>
    <w:rsid w:val="0061279E"/>
    <w:rsid w:val="00650718"/>
    <w:rsid w:val="00666787"/>
    <w:rsid w:val="00691199"/>
    <w:rsid w:val="00695F57"/>
    <w:rsid w:val="006B047F"/>
    <w:rsid w:val="006B08D8"/>
    <w:rsid w:val="006C1131"/>
    <w:rsid w:val="006D05EB"/>
    <w:rsid w:val="006D5712"/>
    <w:rsid w:val="006F7563"/>
    <w:rsid w:val="00706C77"/>
    <w:rsid w:val="00761931"/>
    <w:rsid w:val="00772468"/>
    <w:rsid w:val="007929A6"/>
    <w:rsid w:val="007B2073"/>
    <w:rsid w:val="007C6AEA"/>
    <w:rsid w:val="007F0BDC"/>
    <w:rsid w:val="00830187"/>
    <w:rsid w:val="00851A95"/>
    <w:rsid w:val="00864148"/>
    <w:rsid w:val="00867BA1"/>
    <w:rsid w:val="00874EA6"/>
    <w:rsid w:val="00890632"/>
    <w:rsid w:val="008A4825"/>
    <w:rsid w:val="008A55FF"/>
    <w:rsid w:val="008B05D5"/>
    <w:rsid w:val="008C1057"/>
    <w:rsid w:val="00901F01"/>
    <w:rsid w:val="00931C10"/>
    <w:rsid w:val="00937B84"/>
    <w:rsid w:val="00961368"/>
    <w:rsid w:val="00966A97"/>
    <w:rsid w:val="009A30FC"/>
    <w:rsid w:val="009A4C4E"/>
    <w:rsid w:val="009B641A"/>
    <w:rsid w:val="009F2B06"/>
    <w:rsid w:val="00A40B10"/>
    <w:rsid w:val="00A579A0"/>
    <w:rsid w:val="00A77F92"/>
    <w:rsid w:val="00AA2230"/>
    <w:rsid w:val="00AF14B7"/>
    <w:rsid w:val="00AF26A6"/>
    <w:rsid w:val="00B166BB"/>
    <w:rsid w:val="00B465D9"/>
    <w:rsid w:val="00B54566"/>
    <w:rsid w:val="00C0495E"/>
    <w:rsid w:val="00C12F15"/>
    <w:rsid w:val="00C631CC"/>
    <w:rsid w:val="00C820F7"/>
    <w:rsid w:val="00CD3C79"/>
    <w:rsid w:val="00D12194"/>
    <w:rsid w:val="00D122A4"/>
    <w:rsid w:val="00D15E4C"/>
    <w:rsid w:val="00D21F9E"/>
    <w:rsid w:val="00D23AC5"/>
    <w:rsid w:val="00D23BD1"/>
    <w:rsid w:val="00D46134"/>
    <w:rsid w:val="00D65755"/>
    <w:rsid w:val="00DB2507"/>
    <w:rsid w:val="00DB7D16"/>
    <w:rsid w:val="00E0782F"/>
    <w:rsid w:val="00E247A9"/>
    <w:rsid w:val="00E54621"/>
    <w:rsid w:val="00E66C43"/>
    <w:rsid w:val="00E769CA"/>
    <w:rsid w:val="00E82FF7"/>
    <w:rsid w:val="00E872DA"/>
    <w:rsid w:val="00E97550"/>
    <w:rsid w:val="00EA1711"/>
    <w:rsid w:val="00EB5E10"/>
    <w:rsid w:val="00EC64C6"/>
    <w:rsid w:val="00ED33EC"/>
    <w:rsid w:val="00F01A1D"/>
    <w:rsid w:val="00F102C0"/>
    <w:rsid w:val="00F20BED"/>
    <w:rsid w:val="00F358AE"/>
    <w:rsid w:val="00F74740"/>
    <w:rsid w:val="00F820B1"/>
    <w:rsid w:val="00FA20D3"/>
    <w:rsid w:val="00FA3840"/>
    <w:rsid w:val="00FB1E5A"/>
    <w:rsid w:val="00FB7C1E"/>
    <w:rsid w:val="00FF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FB8511-02F8-4B34-AD0C-61D97F4D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dcterms:created xsi:type="dcterms:W3CDTF">2017-02-15T22:15:00Z</dcterms:created>
  <dcterms:modified xsi:type="dcterms:W3CDTF">2017-02-15T22:15:00Z</dcterms:modified>
</cp:coreProperties>
</file>