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3229C9">
        <w:rPr>
          <w:b/>
          <w:sz w:val="21"/>
          <w:szCs w:val="21"/>
          <w:u w:val="single"/>
        </w:rPr>
        <w:t>5</w:t>
      </w:r>
    </w:p>
    <w:p w:rsidR="00732C9C" w:rsidRPr="00197694" w:rsidRDefault="00732C9C" w:rsidP="00732C9C">
      <w:pPr>
        <w:jc w:val="center"/>
        <w:rPr>
          <w:sz w:val="22"/>
        </w:rPr>
      </w:pPr>
    </w:p>
    <w:tbl>
      <w:tblPr>
        <w:tblW w:w="11089" w:type="dxa"/>
        <w:tblLayout w:type="fixed"/>
        <w:tblLook w:val="0000" w:firstRow="0" w:lastRow="0" w:firstColumn="0" w:lastColumn="0" w:noHBand="0" w:noVBand="0"/>
      </w:tblPr>
      <w:tblGrid>
        <w:gridCol w:w="4001"/>
        <w:gridCol w:w="7088"/>
      </w:tblGrid>
      <w:tr w:rsidR="00732C9C" w:rsidRPr="00197694" w:rsidTr="00F7746C">
        <w:trPr>
          <w:trHeight w:val="237"/>
        </w:trPr>
        <w:tc>
          <w:tcPr>
            <w:tcW w:w="4001" w:type="dxa"/>
          </w:tcPr>
          <w:p w:rsidR="00732C9C" w:rsidRPr="00197694" w:rsidRDefault="00732C9C" w:rsidP="00732C9C">
            <w:pPr>
              <w:rPr>
                <w:sz w:val="22"/>
              </w:rPr>
            </w:pPr>
            <w:r w:rsidRPr="00197694">
              <w:rPr>
                <w:b/>
                <w:sz w:val="22"/>
              </w:rPr>
              <w:t>SUBJECT:</w:t>
            </w:r>
          </w:p>
        </w:tc>
        <w:tc>
          <w:tcPr>
            <w:tcW w:w="7088" w:type="dxa"/>
          </w:tcPr>
          <w:p w:rsidR="00732C9C" w:rsidRPr="00197694" w:rsidRDefault="00732C9C" w:rsidP="006B3134">
            <w:pPr>
              <w:rPr>
                <w:b/>
                <w:sz w:val="22"/>
              </w:rPr>
            </w:pPr>
            <w:r w:rsidRPr="00197694">
              <w:rPr>
                <w:b/>
                <w:sz w:val="22"/>
              </w:rPr>
              <w:t>ARB SUMMARY #</w:t>
            </w:r>
            <w:r w:rsidR="00F76261" w:rsidRPr="00197694">
              <w:rPr>
                <w:b/>
                <w:sz w:val="22"/>
              </w:rPr>
              <w:t xml:space="preserve"> </w:t>
            </w:r>
            <w:r w:rsidR="009A7446" w:rsidRPr="00197694">
              <w:rPr>
                <w:b/>
                <w:sz w:val="22"/>
              </w:rPr>
              <w:t>21</w:t>
            </w:r>
            <w:r w:rsidR="00732272" w:rsidRPr="00197694">
              <w:rPr>
                <w:b/>
                <w:sz w:val="22"/>
              </w:rPr>
              <w:t>9</w:t>
            </w:r>
            <w:r w:rsidR="003229C9">
              <w:rPr>
                <w:b/>
                <w:sz w:val="22"/>
              </w:rPr>
              <w:t>5</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TO:</w:t>
            </w:r>
          </w:p>
        </w:tc>
        <w:tc>
          <w:tcPr>
            <w:tcW w:w="7088" w:type="dxa"/>
          </w:tcPr>
          <w:p w:rsidR="00732C9C" w:rsidRPr="00197694" w:rsidRDefault="00732C9C" w:rsidP="00732C9C">
            <w:pPr>
              <w:rPr>
                <w:b/>
                <w:sz w:val="22"/>
              </w:rPr>
            </w:pPr>
            <w:r w:rsidRPr="00197694">
              <w:rPr>
                <w:b/>
                <w:sz w:val="22"/>
              </w:rPr>
              <w:t>ALL ADVOCATES</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FROM:</w:t>
            </w:r>
          </w:p>
        </w:tc>
        <w:tc>
          <w:tcPr>
            <w:tcW w:w="7088" w:type="dxa"/>
          </w:tcPr>
          <w:p w:rsidR="00732C9C" w:rsidRPr="00197694" w:rsidRDefault="00675D06" w:rsidP="00732C9C">
            <w:pPr>
              <w:rPr>
                <w:b/>
                <w:sz w:val="22"/>
              </w:rPr>
            </w:pPr>
            <w:r w:rsidRPr="00197694">
              <w:rPr>
                <w:b/>
                <w:sz w:val="22"/>
              </w:rPr>
              <w:t>DAVID LONG</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OCB GRIEVANCE NUMBER:</w:t>
            </w:r>
          </w:p>
        </w:tc>
        <w:tc>
          <w:tcPr>
            <w:tcW w:w="7088" w:type="dxa"/>
          </w:tcPr>
          <w:p w:rsidR="00732C9C" w:rsidRPr="00197694" w:rsidRDefault="00FC3B28" w:rsidP="003229C9">
            <w:pPr>
              <w:rPr>
                <w:b/>
                <w:sz w:val="22"/>
              </w:rPr>
            </w:pPr>
            <w:r w:rsidRPr="00197694">
              <w:rPr>
                <w:b/>
                <w:sz w:val="22"/>
              </w:rPr>
              <w:t>15-03-</w:t>
            </w:r>
            <w:r w:rsidR="003229C9">
              <w:rPr>
                <w:b/>
                <w:sz w:val="22"/>
              </w:rPr>
              <w:t>20100315-0024-07-15</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DEPARTMENT:</w:t>
            </w:r>
          </w:p>
        </w:tc>
        <w:tc>
          <w:tcPr>
            <w:tcW w:w="7088" w:type="dxa"/>
          </w:tcPr>
          <w:p w:rsidR="00732C9C" w:rsidRPr="00197694" w:rsidRDefault="00FC3B28" w:rsidP="000817C4">
            <w:pPr>
              <w:ind w:left="432" w:hanging="432"/>
              <w:rPr>
                <w:b/>
                <w:sz w:val="22"/>
              </w:rPr>
            </w:pPr>
            <w:r w:rsidRPr="00197694">
              <w:rPr>
                <w:b/>
                <w:sz w:val="22"/>
              </w:rPr>
              <w:t>Department of Public Safety</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UNION:</w:t>
            </w:r>
          </w:p>
        </w:tc>
        <w:tc>
          <w:tcPr>
            <w:tcW w:w="7088" w:type="dxa"/>
          </w:tcPr>
          <w:p w:rsidR="00732C9C" w:rsidRPr="00197694" w:rsidRDefault="003229C9" w:rsidP="00F03771">
            <w:pPr>
              <w:ind w:left="432" w:hanging="432"/>
              <w:rPr>
                <w:b/>
                <w:sz w:val="22"/>
              </w:rPr>
            </w:pPr>
            <w:r>
              <w:rPr>
                <w:b/>
                <w:sz w:val="22"/>
              </w:rPr>
              <w:t>OSTA</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ARBITRATOR:</w:t>
            </w:r>
          </w:p>
        </w:tc>
        <w:tc>
          <w:tcPr>
            <w:tcW w:w="7088" w:type="dxa"/>
          </w:tcPr>
          <w:p w:rsidR="00732C9C" w:rsidRPr="00197694" w:rsidRDefault="003229C9" w:rsidP="00FC3B28">
            <w:pPr>
              <w:ind w:left="432" w:hanging="432"/>
              <w:rPr>
                <w:b/>
                <w:sz w:val="22"/>
              </w:rPr>
            </w:pPr>
            <w:r>
              <w:rPr>
                <w:b/>
                <w:sz w:val="22"/>
              </w:rPr>
              <w:t>Sarah Rudolph Cole</w:t>
            </w:r>
          </w:p>
        </w:tc>
      </w:tr>
      <w:tr w:rsidR="00732C9C" w:rsidRPr="00197694" w:rsidTr="00F7746C">
        <w:trPr>
          <w:trHeight w:val="224"/>
        </w:trPr>
        <w:tc>
          <w:tcPr>
            <w:tcW w:w="4001" w:type="dxa"/>
          </w:tcPr>
          <w:p w:rsidR="00732C9C" w:rsidRPr="00197694" w:rsidRDefault="00551310" w:rsidP="00732C9C">
            <w:pPr>
              <w:rPr>
                <w:b/>
                <w:sz w:val="22"/>
              </w:rPr>
            </w:pPr>
            <w:r w:rsidRPr="00197694">
              <w:rPr>
                <w:b/>
                <w:sz w:val="22"/>
              </w:rPr>
              <w:t>GRIEVANT</w:t>
            </w:r>
            <w:r w:rsidR="00732C9C" w:rsidRPr="00197694">
              <w:rPr>
                <w:b/>
                <w:sz w:val="22"/>
              </w:rPr>
              <w:t xml:space="preserve"> NAME:</w:t>
            </w:r>
          </w:p>
        </w:tc>
        <w:tc>
          <w:tcPr>
            <w:tcW w:w="7088" w:type="dxa"/>
          </w:tcPr>
          <w:p w:rsidR="00732C9C" w:rsidRPr="00197694" w:rsidRDefault="003229C9" w:rsidP="00FC3B28">
            <w:pPr>
              <w:ind w:left="432" w:hanging="432"/>
              <w:rPr>
                <w:b/>
                <w:sz w:val="22"/>
              </w:rPr>
            </w:pPr>
            <w:r>
              <w:rPr>
                <w:b/>
                <w:sz w:val="22"/>
              </w:rPr>
              <w:t>Eric Short</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MANAGEMENT ADVOCATE:</w:t>
            </w:r>
          </w:p>
        </w:tc>
        <w:tc>
          <w:tcPr>
            <w:tcW w:w="7088" w:type="dxa"/>
          </w:tcPr>
          <w:p w:rsidR="00732C9C" w:rsidRPr="00197694" w:rsidRDefault="003229C9" w:rsidP="00732C9C">
            <w:pPr>
              <w:ind w:left="432" w:hanging="432"/>
              <w:rPr>
                <w:b/>
                <w:sz w:val="22"/>
              </w:rPr>
            </w:pPr>
            <w:r>
              <w:rPr>
                <w:b/>
                <w:sz w:val="22"/>
              </w:rPr>
              <w:t>Lt. Heidi Marshall</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UNION ADVOCATE:</w:t>
            </w:r>
          </w:p>
        </w:tc>
        <w:tc>
          <w:tcPr>
            <w:tcW w:w="7088" w:type="dxa"/>
          </w:tcPr>
          <w:p w:rsidR="00E56D20" w:rsidRPr="00197694" w:rsidRDefault="003229C9" w:rsidP="00FC3B28">
            <w:pPr>
              <w:ind w:left="432" w:hanging="432"/>
              <w:rPr>
                <w:b/>
                <w:sz w:val="22"/>
              </w:rPr>
            </w:pPr>
            <w:r>
              <w:rPr>
                <w:b/>
                <w:sz w:val="22"/>
              </w:rPr>
              <w:t xml:space="preserve">Elaine N. </w:t>
            </w:r>
            <w:proofErr w:type="spellStart"/>
            <w:r>
              <w:rPr>
                <w:b/>
                <w:sz w:val="22"/>
              </w:rPr>
              <w:t>Silveria</w:t>
            </w:r>
            <w:proofErr w:type="spellEnd"/>
          </w:p>
        </w:tc>
      </w:tr>
      <w:tr w:rsidR="00E56D20" w:rsidRPr="00197694" w:rsidTr="00F7746C">
        <w:trPr>
          <w:trHeight w:val="224"/>
        </w:trPr>
        <w:tc>
          <w:tcPr>
            <w:tcW w:w="4001" w:type="dxa"/>
          </w:tcPr>
          <w:p w:rsidR="00E56D20" w:rsidRPr="00197694" w:rsidRDefault="00A0134F" w:rsidP="00732C9C">
            <w:pPr>
              <w:rPr>
                <w:b/>
                <w:sz w:val="22"/>
              </w:rPr>
            </w:pPr>
            <w:r>
              <w:rPr>
                <w:b/>
                <w:sz w:val="22"/>
              </w:rPr>
              <w:t>ARGUED BY BRIEF</w:t>
            </w:r>
            <w:bookmarkStart w:id="0" w:name="_GoBack"/>
            <w:bookmarkEnd w:id="0"/>
            <w:r w:rsidR="00E56D20" w:rsidRPr="00197694">
              <w:rPr>
                <w:b/>
                <w:sz w:val="22"/>
              </w:rPr>
              <w:t>:</w:t>
            </w:r>
          </w:p>
        </w:tc>
        <w:tc>
          <w:tcPr>
            <w:tcW w:w="7088" w:type="dxa"/>
          </w:tcPr>
          <w:p w:rsidR="00E56D20" w:rsidRPr="00197694" w:rsidRDefault="004052B6" w:rsidP="00732C9C">
            <w:pPr>
              <w:ind w:left="432" w:hanging="432"/>
              <w:rPr>
                <w:b/>
                <w:sz w:val="22"/>
              </w:rPr>
            </w:pPr>
            <w:r w:rsidRPr="0044566E">
              <w:rPr>
                <w:b/>
                <w:sz w:val="22"/>
              </w:rPr>
              <w:t>1/23/2013</w:t>
            </w:r>
          </w:p>
        </w:tc>
      </w:tr>
      <w:tr w:rsidR="00E56D20" w:rsidRPr="00197694" w:rsidTr="00F7746C">
        <w:trPr>
          <w:trHeight w:val="78"/>
        </w:trPr>
        <w:tc>
          <w:tcPr>
            <w:tcW w:w="4001" w:type="dxa"/>
          </w:tcPr>
          <w:p w:rsidR="00E56D20" w:rsidRPr="00197694" w:rsidRDefault="00E56D20" w:rsidP="00732C9C">
            <w:pPr>
              <w:rPr>
                <w:b/>
                <w:sz w:val="22"/>
              </w:rPr>
            </w:pPr>
            <w:r w:rsidRPr="00197694">
              <w:rPr>
                <w:b/>
                <w:sz w:val="22"/>
              </w:rPr>
              <w:t>DECISION DATE:</w:t>
            </w:r>
          </w:p>
        </w:tc>
        <w:tc>
          <w:tcPr>
            <w:tcW w:w="7088" w:type="dxa"/>
          </w:tcPr>
          <w:p w:rsidR="00E56D20" w:rsidRPr="00197694" w:rsidRDefault="00604903" w:rsidP="00732272">
            <w:pPr>
              <w:ind w:left="432" w:hanging="432"/>
              <w:rPr>
                <w:b/>
                <w:sz w:val="22"/>
              </w:rPr>
            </w:pPr>
            <w:r w:rsidRPr="00197694">
              <w:rPr>
                <w:b/>
                <w:sz w:val="22"/>
              </w:rPr>
              <w:t>02/1</w:t>
            </w:r>
            <w:r w:rsidR="003229C9">
              <w:rPr>
                <w:b/>
                <w:sz w:val="22"/>
              </w:rPr>
              <w:t>1</w:t>
            </w:r>
            <w:r w:rsidR="00E81383" w:rsidRPr="00197694">
              <w:rPr>
                <w:b/>
                <w:sz w:val="22"/>
              </w:rPr>
              <w:t>/201</w:t>
            </w:r>
            <w:r w:rsidR="00732272" w:rsidRPr="00197694">
              <w:rPr>
                <w:b/>
                <w:sz w:val="22"/>
              </w:rPr>
              <w:t>3</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DECISION:</w:t>
            </w:r>
          </w:p>
        </w:tc>
        <w:tc>
          <w:tcPr>
            <w:tcW w:w="7088" w:type="dxa"/>
          </w:tcPr>
          <w:p w:rsidR="00E56D20" w:rsidRPr="00197694" w:rsidRDefault="003229C9" w:rsidP="002A6C76">
            <w:pPr>
              <w:ind w:left="432" w:hanging="432"/>
              <w:rPr>
                <w:b/>
                <w:sz w:val="22"/>
              </w:rPr>
            </w:pPr>
            <w:r>
              <w:rPr>
                <w:b/>
                <w:sz w:val="22"/>
              </w:rPr>
              <w:t>Denied</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CONTRACT SECTIONS:</w:t>
            </w:r>
          </w:p>
        </w:tc>
        <w:tc>
          <w:tcPr>
            <w:tcW w:w="7088" w:type="dxa"/>
          </w:tcPr>
          <w:p w:rsidR="00E56D20" w:rsidRPr="00197694" w:rsidRDefault="00017F22" w:rsidP="00017F22">
            <w:pPr>
              <w:ind w:left="432" w:hanging="432"/>
              <w:rPr>
                <w:b/>
                <w:sz w:val="22"/>
              </w:rPr>
            </w:pPr>
            <w:r>
              <w:rPr>
                <w:b/>
                <w:sz w:val="22"/>
              </w:rPr>
              <w:t>Article 4 – Management Rights</w:t>
            </w:r>
          </w:p>
        </w:tc>
      </w:tr>
      <w:tr w:rsidR="00E56D20" w:rsidRPr="00197694" w:rsidTr="00F7746C">
        <w:trPr>
          <w:trHeight w:val="458"/>
        </w:trPr>
        <w:tc>
          <w:tcPr>
            <w:tcW w:w="4001" w:type="dxa"/>
          </w:tcPr>
          <w:p w:rsidR="00E56D20" w:rsidRPr="00197694" w:rsidRDefault="00E56D20" w:rsidP="00732C9C">
            <w:pPr>
              <w:rPr>
                <w:b/>
                <w:sz w:val="22"/>
              </w:rPr>
            </w:pPr>
            <w:r w:rsidRPr="00197694">
              <w:rPr>
                <w:b/>
                <w:sz w:val="22"/>
              </w:rPr>
              <w:t>OCB RESEARCH CODES:</w:t>
            </w:r>
          </w:p>
        </w:tc>
        <w:tc>
          <w:tcPr>
            <w:tcW w:w="7088" w:type="dxa"/>
          </w:tcPr>
          <w:p w:rsidR="00E56D20" w:rsidRPr="00197694" w:rsidRDefault="00C31FD0" w:rsidP="00E33879">
            <w:pPr>
              <w:ind w:left="432" w:hanging="432"/>
              <w:rPr>
                <w:b/>
                <w:sz w:val="22"/>
              </w:rPr>
            </w:pPr>
            <w:r w:rsidRPr="00197694">
              <w:rPr>
                <w:b/>
                <w:sz w:val="22"/>
              </w:rPr>
              <w:t xml:space="preserve">117.232 – Seniority Lists; </w:t>
            </w:r>
            <w:r w:rsidR="000817C4">
              <w:rPr>
                <w:b/>
                <w:sz w:val="22"/>
              </w:rPr>
              <w:t>120.01  - Transfer; 119.01 – Promotions-Selection In General</w:t>
            </w:r>
          </w:p>
          <w:p w:rsidR="007A1586" w:rsidRPr="00197694" w:rsidRDefault="007A1586" w:rsidP="007A1586">
            <w:pPr>
              <w:ind w:left="432" w:hanging="432"/>
              <w:rPr>
                <w:b/>
                <w:sz w:val="22"/>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785794">
        <w:rPr>
          <w:b/>
          <w:sz w:val="22"/>
          <w:szCs w:val="22"/>
        </w:rPr>
        <w:t>denied</w:t>
      </w:r>
      <w:r w:rsidR="00E81383">
        <w:rPr>
          <w:b/>
          <w:sz w:val="22"/>
          <w:szCs w:val="22"/>
        </w:rPr>
        <w:t xml:space="preserve">.  The </w:t>
      </w:r>
      <w:r w:rsidR="005A2C6F">
        <w:rPr>
          <w:b/>
          <w:sz w:val="22"/>
          <w:szCs w:val="22"/>
        </w:rPr>
        <w:t xml:space="preserve">Arbitrator </w:t>
      </w:r>
      <w:r w:rsidR="00C31FD0">
        <w:rPr>
          <w:b/>
          <w:sz w:val="22"/>
          <w:szCs w:val="22"/>
        </w:rPr>
        <w:t xml:space="preserve">held that the </w:t>
      </w:r>
      <w:r w:rsidR="00785794">
        <w:rPr>
          <w:b/>
          <w:sz w:val="22"/>
          <w:szCs w:val="22"/>
        </w:rPr>
        <w:t xml:space="preserve">Employer did not violate the CBA by choosing to promote Sergeant Molly Clemens rather than transfer Grievant, Sergeant Eric Short into the </w:t>
      </w:r>
      <w:r w:rsidR="00707B57">
        <w:rPr>
          <w:b/>
          <w:sz w:val="22"/>
          <w:szCs w:val="22"/>
        </w:rPr>
        <w:t>Administrative Investigation Unit (</w:t>
      </w:r>
      <w:r w:rsidR="00785794">
        <w:rPr>
          <w:b/>
          <w:sz w:val="22"/>
          <w:szCs w:val="22"/>
        </w:rPr>
        <w:t>AIU</w:t>
      </w:r>
      <w:r w:rsidR="00707B57">
        <w:rPr>
          <w:b/>
          <w:sz w:val="22"/>
          <w:szCs w:val="22"/>
        </w:rPr>
        <w:t>)</w:t>
      </w:r>
      <w:r w:rsidR="00785794">
        <w:rPr>
          <w:b/>
          <w:sz w:val="22"/>
          <w:szCs w:val="22"/>
        </w:rPr>
        <w:t xml:space="preserve"> position</w:t>
      </w:r>
      <w:r w:rsidR="00FC3B28">
        <w:rPr>
          <w:b/>
          <w:sz w:val="22"/>
          <w:szCs w:val="22"/>
        </w:rPr>
        <w:t>.</w:t>
      </w:r>
    </w:p>
    <w:p w:rsidR="00A16E6D" w:rsidRDefault="00A16E6D" w:rsidP="00E81383">
      <w:pPr>
        <w:jc w:val="both"/>
        <w:rPr>
          <w:b/>
          <w:sz w:val="22"/>
          <w:szCs w:val="22"/>
        </w:rPr>
      </w:pPr>
    </w:p>
    <w:p w:rsidR="00146D23" w:rsidRDefault="00D24FC1" w:rsidP="0032288B">
      <w:pPr>
        <w:jc w:val="both"/>
        <w:rPr>
          <w:sz w:val="22"/>
          <w:szCs w:val="22"/>
        </w:rPr>
      </w:pPr>
      <w:r>
        <w:rPr>
          <w:sz w:val="22"/>
          <w:szCs w:val="22"/>
        </w:rPr>
        <w:t xml:space="preserve">The </w:t>
      </w:r>
      <w:r w:rsidR="00551310">
        <w:rPr>
          <w:sz w:val="22"/>
          <w:szCs w:val="22"/>
        </w:rPr>
        <w:t>Grievant</w:t>
      </w:r>
      <w:r>
        <w:rPr>
          <w:sz w:val="22"/>
          <w:szCs w:val="22"/>
        </w:rPr>
        <w:t xml:space="preserve"> </w:t>
      </w:r>
      <w:r w:rsidR="00422AB5">
        <w:rPr>
          <w:sz w:val="22"/>
          <w:szCs w:val="22"/>
        </w:rPr>
        <w:t xml:space="preserve">was a sergeant with </w:t>
      </w:r>
      <w:r w:rsidR="000B70C7">
        <w:rPr>
          <w:sz w:val="22"/>
          <w:szCs w:val="22"/>
        </w:rPr>
        <w:t xml:space="preserve">twelve years of experience at different posts as a sergeant. Grievant claimed that the Employer violated the CBA when it chose to post for promotion the newly created AIU rather than post the </w:t>
      </w:r>
      <w:r w:rsidR="00707B57">
        <w:rPr>
          <w:sz w:val="22"/>
          <w:szCs w:val="22"/>
        </w:rPr>
        <w:t>position as open for a transfer—</w:t>
      </w:r>
      <w:r w:rsidR="000B70C7">
        <w:rPr>
          <w:sz w:val="22"/>
          <w:szCs w:val="22"/>
        </w:rPr>
        <w:t>as the Employer had done in other regions of the newly created AIU</w:t>
      </w:r>
      <w:r w:rsidR="00197694">
        <w:rPr>
          <w:sz w:val="22"/>
          <w:szCs w:val="22"/>
        </w:rPr>
        <w:t>.</w:t>
      </w:r>
      <w:r w:rsidR="000B70C7">
        <w:rPr>
          <w:sz w:val="22"/>
          <w:szCs w:val="22"/>
        </w:rPr>
        <w:t xml:space="preserve"> Grievant claimed that he had more </w:t>
      </w:r>
      <w:r w:rsidR="00DA5785">
        <w:rPr>
          <w:sz w:val="22"/>
          <w:szCs w:val="22"/>
        </w:rPr>
        <w:t>seniority</w:t>
      </w:r>
      <w:r w:rsidR="000B70C7">
        <w:rPr>
          <w:sz w:val="22"/>
          <w:szCs w:val="22"/>
        </w:rPr>
        <w:t xml:space="preserve"> than the individual promoted, Sergea</w:t>
      </w:r>
      <w:r w:rsidR="00DA5785">
        <w:rPr>
          <w:sz w:val="22"/>
          <w:szCs w:val="22"/>
        </w:rPr>
        <w:t>nt Clemens, and was more qualified for the position. Therefore, the Grievant believes he should have been transferred into the position</w:t>
      </w:r>
      <w:r w:rsidR="004052B6">
        <w:rPr>
          <w:sz w:val="22"/>
          <w:szCs w:val="22"/>
        </w:rPr>
        <w:t xml:space="preserve"> instead</w:t>
      </w:r>
      <w:r w:rsidR="00DA5785">
        <w:rPr>
          <w:sz w:val="22"/>
          <w:szCs w:val="22"/>
        </w:rPr>
        <w:t>.</w:t>
      </w:r>
      <w:r w:rsidR="00B62509">
        <w:rPr>
          <w:sz w:val="22"/>
          <w:szCs w:val="22"/>
        </w:rPr>
        <w:t xml:space="preserve"> </w:t>
      </w:r>
    </w:p>
    <w:p w:rsidR="00D76CDC" w:rsidRDefault="00D76CDC" w:rsidP="0032288B">
      <w:pPr>
        <w:jc w:val="both"/>
        <w:rPr>
          <w:sz w:val="22"/>
          <w:szCs w:val="22"/>
        </w:rPr>
      </w:pPr>
    </w:p>
    <w:p w:rsidR="00350F84" w:rsidRDefault="00A75AA9" w:rsidP="0032288B">
      <w:pPr>
        <w:jc w:val="both"/>
        <w:rPr>
          <w:sz w:val="22"/>
          <w:szCs w:val="22"/>
        </w:rPr>
      </w:pPr>
      <w:r>
        <w:rPr>
          <w:sz w:val="22"/>
          <w:szCs w:val="22"/>
        </w:rPr>
        <w:t xml:space="preserve">The </w:t>
      </w:r>
      <w:r w:rsidR="004052B6">
        <w:rPr>
          <w:sz w:val="22"/>
          <w:szCs w:val="22"/>
        </w:rPr>
        <w:t xml:space="preserve">Employer </w:t>
      </w:r>
      <w:r w:rsidR="00D442B8">
        <w:rPr>
          <w:sz w:val="22"/>
          <w:szCs w:val="22"/>
        </w:rPr>
        <w:t xml:space="preserve">claimed that the issue was </w:t>
      </w:r>
      <w:r w:rsidR="009A1116">
        <w:rPr>
          <w:sz w:val="22"/>
          <w:szCs w:val="22"/>
        </w:rPr>
        <w:t xml:space="preserve">untimely and </w:t>
      </w:r>
      <w:r w:rsidR="00D442B8">
        <w:rPr>
          <w:sz w:val="22"/>
          <w:szCs w:val="22"/>
        </w:rPr>
        <w:t>not arbitrable as the grieva</w:t>
      </w:r>
      <w:r w:rsidR="009A1116">
        <w:rPr>
          <w:sz w:val="22"/>
          <w:szCs w:val="22"/>
        </w:rPr>
        <w:t xml:space="preserve">nce was filed 18 days after </w:t>
      </w:r>
      <w:r w:rsidR="004052B6">
        <w:rPr>
          <w:sz w:val="22"/>
          <w:szCs w:val="22"/>
        </w:rPr>
        <w:t>the Grievant</w:t>
      </w:r>
      <w:r w:rsidR="009A1116">
        <w:rPr>
          <w:sz w:val="22"/>
          <w:szCs w:val="22"/>
        </w:rPr>
        <w:t xml:space="preserve"> should have known about the promotion posting. The Employer also argued that Article 4 of the CBA gives the Employer management rights to </w:t>
      </w:r>
      <w:r w:rsidR="004052B6">
        <w:rPr>
          <w:sz w:val="22"/>
          <w:szCs w:val="22"/>
        </w:rPr>
        <w:t xml:space="preserve">choose whether to </w:t>
      </w:r>
      <w:r w:rsidR="009A1116">
        <w:rPr>
          <w:sz w:val="22"/>
          <w:szCs w:val="22"/>
        </w:rPr>
        <w:t xml:space="preserve">fill </w:t>
      </w:r>
      <w:r w:rsidR="004052B6">
        <w:rPr>
          <w:sz w:val="22"/>
          <w:szCs w:val="22"/>
        </w:rPr>
        <w:t>a</w:t>
      </w:r>
      <w:r w:rsidR="009A1116">
        <w:rPr>
          <w:sz w:val="22"/>
          <w:szCs w:val="22"/>
        </w:rPr>
        <w:t xml:space="preserve"> position by transfer </w:t>
      </w:r>
      <w:r w:rsidR="004052B6">
        <w:rPr>
          <w:sz w:val="22"/>
          <w:szCs w:val="22"/>
        </w:rPr>
        <w:t xml:space="preserve">or </w:t>
      </w:r>
      <w:r w:rsidR="009A1116">
        <w:rPr>
          <w:sz w:val="22"/>
          <w:szCs w:val="22"/>
        </w:rPr>
        <w:t xml:space="preserve">promotion—noting a long-standing practice of exercising this right and arbitrators upholding the right. Finally, the Employer argued that it was irrelevant if Grievant may have performed better as the Employer has discretion on how to fill the position. </w:t>
      </w:r>
    </w:p>
    <w:p w:rsidR="00350F84" w:rsidRDefault="00350F84" w:rsidP="0032288B">
      <w:pPr>
        <w:jc w:val="both"/>
        <w:rPr>
          <w:sz w:val="22"/>
          <w:szCs w:val="22"/>
        </w:rPr>
      </w:pPr>
    </w:p>
    <w:p w:rsidR="00350F84" w:rsidRDefault="007D4B8F" w:rsidP="0032288B">
      <w:pPr>
        <w:jc w:val="both"/>
        <w:rPr>
          <w:sz w:val="22"/>
          <w:szCs w:val="22"/>
        </w:rPr>
      </w:pPr>
      <w:r>
        <w:rPr>
          <w:sz w:val="22"/>
          <w:szCs w:val="22"/>
        </w:rPr>
        <w:t xml:space="preserve">The Union </w:t>
      </w:r>
      <w:r w:rsidR="00DA5785">
        <w:rPr>
          <w:sz w:val="22"/>
          <w:szCs w:val="22"/>
        </w:rPr>
        <w:t xml:space="preserve">argued that the Employer should have transferred Grievant into the position because he had an open transfer request and the Employer improperly filled some AIU positions by transfer and others by promotion. While the Union acknowledges that there are existing arbitration opinions interpreting the CBA to allow the Employer to choose whether to transfer or promote, here the circumstances dictate that the decision should be based on seniority alone—noting that </w:t>
      </w:r>
      <w:r w:rsidR="00D442B8">
        <w:rPr>
          <w:sz w:val="22"/>
          <w:szCs w:val="22"/>
        </w:rPr>
        <w:t>the other decisions involved promotions of individuals who had more experience than the grievants, unlike here</w:t>
      </w:r>
      <w:r w:rsidR="00DA5785">
        <w:rPr>
          <w:sz w:val="22"/>
          <w:szCs w:val="22"/>
        </w:rPr>
        <w:t>.</w:t>
      </w:r>
      <w:r w:rsidR="00D442B8">
        <w:rPr>
          <w:sz w:val="22"/>
          <w:szCs w:val="22"/>
        </w:rPr>
        <w:t xml:space="preserve"> The Union also emphasized that arbitration decisions are not binding and the opinions were 15 and 9 years old. </w:t>
      </w:r>
      <w:r w:rsidR="00DA5785">
        <w:rPr>
          <w:sz w:val="22"/>
          <w:szCs w:val="22"/>
        </w:rPr>
        <w:t xml:space="preserve"> </w:t>
      </w:r>
    </w:p>
    <w:p w:rsidR="00350F84" w:rsidRDefault="00350F84" w:rsidP="0032288B">
      <w:pPr>
        <w:jc w:val="both"/>
        <w:rPr>
          <w:sz w:val="22"/>
          <w:szCs w:val="22"/>
        </w:rPr>
      </w:pPr>
    </w:p>
    <w:p w:rsidR="005C7F09" w:rsidRDefault="00F13857" w:rsidP="0032288B">
      <w:pPr>
        <w:jc w:val="both"/>
        <w:rPr>
          <w:sz w:val="22"/>
          <w:szCs w:val="22"/>
        </w:rPr>
      </w:pPr>
      <w:r>
        <w:rPr>
          <w:sz w:val="22"/>
          <w:szCs w:val="22"/>
        </w:rPr>
        <w:t xml:space="preserve">First, the Arbitrator found that the grievance was timely and properly before the Arbitrator. To hold otherwise, would require the Grievant to know that someone else would receive the promotion and </w:t>
      </w:r>
      <w:r w:rsidR="004052B6">
        <w:rPr>
          <w:sz w:val="22"/>
          <w:szCs w:val="22"/>
        </w:rPr>
        <w:t xml:space="preserve">would </w:t>
      </w:r>
      <w:r>
        <w:rPr>
          <w:sz w:val="22"/>
          <w:szCs w:val="22"/>
        </w:rPr>
        <w:t xml:space="preserve">encourage employees to file grievances before adverse decision had been made. </w:t>
      </w:r>
      <w:r w:rsidR="00350F84">
        <w:rPr>
          <w:sz w:val="22"/>
          <w:szCs w:val="22"/>
        </w:rPr>
        <w:t xml:space="preserve">The Arbitrator </w:t>
      </w:r>
      <w:r w:rsidR="002A5CCB">
        <w:rPr>
          <w:sz w:val="22"/>
          <w:szCs w:val="22"/>
        </w:rPr>
        <w:t xml:space="preserve">also </w:t>
      </w:r>
      <w:r w:rsidR="00031144">
        <w:rPr>
          <w:sz w:val="22"/>
          <w:szCs w:val="22"/>
        </w:rPr>
        <w:t xml:space="preserve">found that </w:t>
      </w:r>
      <w:r w:rsidR="009A1116">
        <w:rPr>
          <w:sz w:val="22"/>
          <w:szCs w:val="22"/>
        </w:rPr>
        <w:t>the Employer did not violate the CBA by choosing to fill the AIU position through promotion rather than transfer.</w:t>
      </w:r>
      <w:r w:rsidR="002A5CCB">
        <w:rPr>
          <w:sz w:val="22"/>
          <w:szCs w:val="22"/>
        </w:rPr>
        <w:t xml:space="preserve"> Looking at the plain language, the CBA provides</w:t>
      </w:r>
      <w:r w:rsidR="004052B6">
        <w:rPr>
          <w:sz w:val="22"/>
          <w:szCs w:val="22"/>
        </w:rPr>
        <w:t>,</w:t>
      </w:r>
      <w:r w:rsidR="002A5CCB">
        <w:rPr>
          <w:sz w:val="22"/>
          <w:szCs w:val="22"/>
        </w:rPr>
        <w:t xml:space="preserve"> under Article 30</w:t>
      </w:r>
      <w:r w:rsidR="004052B6">
        <w:rPr>
          <w:sz w:val="22"/>
          <w:szCs w:val="22"/>
        </w:rPr>
        <w:t>,</w:t>
      </w:r>
      <w:r w:rsidR="002A5CCB">
        <w:rPr>
          <w:sz w:val="22"/>
          <w:szCs w:val="22"/>
        </w:rPr>
        <w:t xml:space="preserve"> that other options besides transfer are available to the Employer: “</w:t>
      </w:r>
      <w:r w:rsidR="002A5CCB" w:rsidRPr="004052B6">
        <w:rPr>
          <w:i/>
          <w:sz w:val="22"/>
          <w:szCs w:val="22"/>
        </w:rPr>
        <w:t>[w]hen</w:t>
      </w:r>
      <w:r w:rsidR="002A5CCB">
        <w:rPr>
          <w:sz w:val="22"/>
          <w:szCs w:val="22"/>
        </w:rPr>
        <w:t xml:space="preserve"> the Employer determines that a vacancy in a non-field position shall be filled by transfer. . . .” As the language anticipates the Employer might fill the position another way</w:t>
      </w:r>
      <w:r w:rsidR="00EF6EEB">
        <w:rPr>
          <w:sz w:val="22"/>
          <w:szCs w:val="22"/>
        </w:rPr>
        <w:t xml:space="preserve"> and the CBA does not limit the Employer’s rights with respect to promotion</w:t>
      </w:r>
      <w:r w:rsidR="002A5CCB">
        <w:rPr>
          <w:sz w:val="22"/>
          <w:szCs w:val="22"/>
        </w:rPr>
        <w:t xml:space="preserve">, Article 4 controls this situation. </w:t>
      </w:r>
      <w:r w:rsidR="00EF6EEB">
        <w:rPr>
          <w:sz w:val="22"/>
          <w:szCs w:val="22"/>
        </w:rPr>
        <w:t xml:space="preserve">This plain language reading is supported by stipulated testimony that the Employer’s practice is to use discretion according to </w:t>
      </w:r>
      <w:r w:rsidR="004052B6">
        <w:rPr>
          <w:sz w:val="22"/>
          <w:szCs w:val="22"/>
        </w:rPr>
        <w:t>existing</w:t>
      </w:r>
      <w:r w:rsidR="00EF6EEB">
        <w:rPr>
          <w:sz w:val="22"/>
          <w:szCs w:val="22"/>
        </w:rPr>
        <w:t xml:space="preserve"> needs. As the Employer makes reasonable efforts to rotate positions for promotion or transfer equitably, the Employer’s long-standing and uncontested practice </w:t>
      </w:r>
      <w:r w:rsidR="004052B6">
        <w:rPr>
          <w:sz w:val="22"/>
          <w:szCs w:val="22"/>
        </w:rPr>
        <w:t>was not arbitrary or capricious</w:t>
      </w:r>
      <w:r w:rsidR="00EF6EEB">
        <w:rPr>
          <w:sz w:val="22"/>
          <w:szCs w:val="22"/>
        </w:rPr>
        <w:t>.</w:t>
      </w:r>
    </w:p>
    <w:p w:rsidR="005C7F09" w:rsidRDefault="005C7F09" w:rsidP="0032288B">
      <w:pPr>
        <w:jc w:val="both"/>
        <w:rPr>
          <w:sz w:val="22"/>
          <w:szCs w:val="22"/>
        </w:rPr>
      </w:pPr>
    </w:p>
    <w:p w:rsidR="00480959" w:rsidRDefault="00480959" w:rsidP="0032288B">
      <w:pPr>
        <w:jc w:val="both"/>
        <w:rPr>
          <w:sz w:val="22"/>
          <w:szCs w:val="22"/>
        </w:rPr>
      </w:pPr>
    </w:p>
    <w:p w:rsidR="003826D5" w:rsidRPr="00A16E6D" w:rsidRDefault="003826D5" w:rsidP="003C4599">
      <w:pPr>
        <w:jc w:val="both"/>
        <w:rPr>
          <w:sz w:val="22"/>
          <w:szCs w:val="22"/>
        </w:rPr>
      </w:pPr>
    </w:p>
    <w:sectPr w:rsidR="003826D5" w:rsidRPr="00A16E6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17F22"/>
    <w:rsid w:val="00024D63"/>
    <w:rsid w:val="00027263"/>
    <w:rsid w:val="00031144"/>
    <w:rsid w:val="00041E10"/>
    <w:rsid w:val="00050D5D"/>
    <w:rsid w:val="00051E3A"/>
    <w:rsid w:val="000524D3"/>
    <w:rsid w:val="00067AB7"/>
    <w:rsid w:val="00074910"/>
    <w:rsid w:val="000817C4"/>
    <w:rsid w:val="00082959"/>
    <w:rsid w:val="00090511"/>
    <w:rsid w:val="000A3803"/>
    <w:rsid w:val="000A418E"/>
    <w:rsid w:val="000B70C7"/>
    <w:rsid w:val="000C1092"/>
    <w:rsid w:val="000D5305"/>
    <w:rsid w:val="000E3E51"/>
    <w:rsid w:val="000F16D8"/>
    <w:rsid w:val="00101653"/>
    <w:rsid w:val="00114C19"/>
    <w:rsid w:val="001300CF"/>
    <w:rsid w:val="00145EB4"/>
    <w:rsid w:val="00146D23"/>
    <w:rsid w:val="00150B77"/>
    <w:rsid w:val="00183753"/>
    <w:rsid w:val="00183B43"/>
    <w:rsid w:val="0019304E"/>
    <w:rsid w:val="00194A0E"/>
    <w:rsid w:val="00197694"/>
    <w:rsid w:val="001A6F4C"/>
    <w:rsid w:val="001B2811"/>
    <w:rsid w:val="001B2FE2"/>
    <w:rsid w:val="001E6DA6"/>
    <w:rsid w:val="002056BF"/>
    <w:rsid w:val="00207A94"/>
    <w:rsid w:val="00210A77"/>
    <w:rsid w:val="00211003"/>
    <w:rsid w:val="00212A57"/>
    <w:rsid w:val="002154BC"/>
    <w:rsid w:val="00225237"/>
    <w:rsid w:val="00240EA9"/>
    <w:rsid w:val="00252C63"/>
    <w:rsid w:val="00256D5D"/>
    <w:rsid w:val="002635E3"/>
    <w:rsid w:val="002920F5"/>
    <w:rsid w:val="002A42F7"/>
    <w:rsid w:val="002A492B"/>
    <w:rsid w:val="002A5CCB"/>
    <w:rsid w:val="002A6C76"/>
    <w:rsid w:val="002D2C0C"/>
    <w:rsid w:val="002D51B2"/>
    <w:rsid w:val="002F0DB2"/>
    <w:rsid w:val="002F1FF0"/>
    <w:rsid w:val="00311C7E"/>
    <w:rsid w:val="0032288B"/>
    <w:rsid w:val="003229C9"/>
    <w:rsid w:val="00331F7D"/>
    <w:rsid w:val="00332AE3"/>
    <w:rsid w:val="003441C4"/>
    <w:rsid w:val="00350F84"/>
    <w:rsid w:val="00352EDD"/>
    <w:rsid w:val="003551EF"/>
    <w:rsid w:val="00364B87"/>
    <w:rsid w:val="00371714"/>
    <w:rsid w:val="003826D5"/>
    <w:rsid w:val="00384E3E"/>
    <w:rsid w:val="00392FAC"/>
    <w:rsid w:val="00395585"/>
    <w:rsid w:val="003A0F61"/>
    <w:rsid w:val="003C4599"/>
    <w:rsid w:val="003D0C38"/>
    <w:rsid w:val="003E4554"/>
    <w:rsid w:val="003E4D20"/>
    <w:rsid w:val="00400993"/>
    <w:rsid w:val="004011B8"/>
    <w:rsid w:val="00401728"/>
    <w:rsid w:val="00403843"/>
    <w:rsid w:val="004052B6"/>
    <w:rsid w:val="00422AB5"/>
    <w:rsid w:val="004265A5"/>
    <w:rsid w:val="00430400"/>
    <w:rsid w:val="00432A30"/>
    <w:rsid w:val="0043333B"/>
    <w:rsid w:val="0044566E"/>
    <w:rsid w:val="004736E8"/>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2C6F"/>
    <w:rsid w:val="005A5E5C"/>
    <w:rsid w:val="005C27B8"/>
    <w:rsid w:val="005C33AC"/>
    <w:rsid w:val="005C7F09"/>
    <w:rsid w:val="005D7134"/>
    <w:rsid w:val="005E4C5E"/>
    <w:rsid w:val="005F7D6E"/>
    <w:rsid w:val="00601CAD"/>
    <w:rsid w:val="00604903"/>
    <w:rsid w:val="00617BDA"/>
    <w:rsid w:val="00624565"/>
    <w:rsid w:val="006246A8"/>
    <w:rsid w:val="00627325"/>
    <w:rsid w:val="006274BC"/>
    <w:rsid w:val="00641968"/>
    <w:rsid w:val="00646AFD"/>
    <w:rsid w:val="00652A9D"/>
    <w:rsid w:val="00657B19"/>
    <w:rsid w:val="00675D06"/>
    <w:rsid w:val="00684B24"/>
    <w:rsid w:val="006B3134"/>
    <w:rsid w:val="006D084B"/>
    <w:rsid w:val="006D3853"/>
    <w:rsid w:val="006D385F"/>
    <w:rsid w:val="006D7AAA"/>
    <w:rsid w:val="006E499A"/>
    <w:rsid w:val="006F53ED"/>
    <w:rsid w:val="006F58E1"/>
    <w:rsid w:val="00707B57"/>
    <w:rsid w:val="00711929"/>
    <w:rsid w:val="00732272"/>
    <w:rsid w:val="0073294E"/>
    <w:rsid w:val="00732C9C"/>
    <w:rsid w:val="00746ABD"/>
    <w:rsid w:val="00754AAA"/>
    <w:rsid w:val="00755580"/>
    <w:rsid w:val="00761E29"/>
    <w:rsid w:val="00763ED1"/>
    <w:rsid w:val="00765542"/>
    <w:rsid w:val="00766AEF"/>
    <w:rsid w:val="007675F8"/>
    <w:rsid w:val="00775E75"/>
    <w:rsid w:val="00785794"/>
    <w:rsid w:val="00786733"/>
    <w:rsid w:val="00786891"/>
    <w:rsid w:val="007A1586"/>
    <w:rsid w:val="007A6EC2"/>
    <w:rsid w:val="007B1AA5"/>
    <w:rsid w:val="007B47AD"/>
    <w:rsid w:val="007B7AFB"/>
    <w:rsid w:val="007C2CE2"/>
    <w:rsid w:val="007C4C9B"/>
    <w:rsid w:val="007D4B8F"/>
    <w:rsid w:val="007D54D2"/>
    <w:rsid w:val="007D76B7"/>
    <w:rsid w:val="007E065C"/>
    <w:rsid w:val="007E4098"/>
    <w:rsid w:val="007E6AA6"/>
    <w:rsid w:val="007F1356"/>
    <w:rsid w:val="007F548D"/>
    <w:rsid w:val="00801333"/>
    <w:rsid w:val="00801C62"/>
    <w:rsid w:val="00811163"/>
    <w:rsid w:val="00821DD4"/>
    <w:rsid w:val="008359CF"/>
    <w:rsid w:val="008540ED"/>
    <w:rsid w:val="00874237"/>
    <w:rsid w:val="0088175D"/>
    <w:rsid w:val="00882350"/>
    <w:rsid w:val="008A2EC0"/>
    <w:rsid w:val="008D2534"/>
    <w:rsid w:val="008D7674"/>
    <w:rsid w:val="008E6C73"/>
    <w:rsid w:val="00900430"/>
    <w:rsid w:val="00904F6C"/>
    <w:rsid w:val="00913DD9"/>
    <w:rsid w:val="00920E1D"/>
    <w:rsid w:val="00922787"/>
    <w:rsid w:val="00926E65"/>
    <w:rsid w:val="0094108B"/>
    <w:rsid w:val="00945348"/>
    <w:rsid w:val="009459B1"/>
    <w:rsid w:val="009631F3"/>
    <w:rsid w:val="00973E8D"/>
    <w:rsid w:val="00975184"/>
    <w:rsid w:val="00990073"/>
    <w:rsid w:val="00994504"/>
    <w:rsid w:val="009945FB"/>
    <w:rsid w:val="009A1116"/>
    <w:rsid w:val="009A3C1C"/>
    <w:rsid w:val="009A7446"/>
    <w:rsid w:val="009B2757"/>
    <w:rsid w:val="009C015E"/>
    <w:rsid w:val="009C2AAC"/>
    <w:rsid w:val="009D04C6"/>
    <w:rsid w:val="009D5316"/>
    <w:rsid w:val="009E21E4"/>
    <w:rsid w:val="009F5999"/>
    <w:rsid w:val="009F66FE"/>
    <w:rsid w:val="00A002E0"/>
    <w:rsid w:val="00A0134F"/>
    <w:rsid w:val="00A03DCD"/>
    <w:rsid w:val="00A16E6D"/>
    <w:rsid w:val="00A30A04"/>
    <w:rsid w:val="00A3402F"/>
    <w:rsid w:val="00A34314"/>
    <w:rsid w:val="00A43890"/>
    <w:rsid w:val="00A4574F"/>
    <w:rsid w:val="00A504F1"/>
    <w:rsid w:val="00A536EB"/>
    <w:rsid w:val="00A56AB7"/>
    <w:rsid w:val="00A75AA9"/>
    <w:rsid w:val="00A94A37"/>
    <w:rsid w:val="00AC199C"/>
    <w:rsid w:val="00AE04C2"/>
    <w:rsid w:val="00AE2F2B"/>
    <w:rsid w:val="00B118BF"/>
    <w:rsid w:val="00B532C4"/>
    <w:rsid w:val="00B55B7C"/>
    <w:rsid w:val="00B62509"/>
    <w:rsid w:val="00B70D61"/>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1FD0"/>
    <w:rsid w:val="00C355CA"/>
    <w:rsid w:val="00C53503"/>
    <w:rsid w:val="00C54874"/>
    <w:rsid w:val="00C61A8C"/>
    <w:rsid w:val="00C848E3"/>
    <w:rsid w:val="00C87111"/>
    <w:rsid w:val="00C9087A"/>
    <w:rsid w:val="00CA346A"/>
    <w:rsid w:val="00CA3738"/>
    <w:rsid w:val="00CA66B3"/>
    <w:rsid w:val="00CD492B"/>
    <w:rsid w:val="00CE4417"/>
    <w:rsid w:val="00CF3087"/>
    <w:rsid w:val="00CF5B7E"/>
    <w:rsid w:val="00D01E4F"/>
    <w:rsid w:val="00D14075"/>
    <w:rsid w:val="00D239A8"/>
    <w:rsid w:val="00D24FC1"/>
    <w:rsid w:val="00D436B2"/>
    <w:rsid w:val="00D442B8"/>
    <w:rsid w:val="00D464F8"/>
    <w:rsid w:val="00D54355"/>
    <w:rsid w:val="00D76CDC"/>
    <w:rsid w:val="00DA09B7"/>
    <w:rsid w:val="00DA3E8A"/>
    <w:rsid w:val="00DA48BF"/>
    <w:rsid w:val="00DA5785"/>
    <w:rsid w:val="00DB2B69"/>
    <w:rsid w:val="00DB5E70"/>
    <w:rsid w:val="00DC1337"/>
    <w:rsid w:val="00E01FC6"/>
    <w:rsid w:val="00E103C7"/>
    <w:rsid w:val="00E202BF"/>
    <w:rsid w:val="00E26535"/>
    <w:rsid w:val="00E2703B"/>
    <w:rsid w:val="00E33879"/>
    <w:rsid w:val="00E33E99"/>
    <w:rsid w:val="00E3743E"/>
    <w:rsid w:val="00E463F7"/>
    <w:rsid w:val="00E56D20"/>
    <w:rsid w:val="00E71F19"/>
    <w:rsid w:val="00E81383"/>
    <w:rsid w:val="00EA0993"/>
    <w:rsid w:val="00ED446B"/>
    <w:rsid w:val="00EE04EB"/>
    <w:rsid w:val="00EE788A"/>
    <w:rsid w:val="00EF4733"/>
    <w:rsid w:val="00EF6EEB"/>
    <w:rsid w:val="00F00B78"/>
    <w:rsid w:val="00F03771"/>
    <w:rsid w:val="00F110C8"/>
    <w:rsid w:val="00F13857"/>
    <w:rsid w:val="00F1566A"/>
    <w:rsid w:val="00F24A7E"/>
    <w:rsid w:val="00F4317E"/>
    <w:rsid w:val="00F545E1"/>
    <w:rsid w:val="00F56C24"/>
    <w:rsid w:val="00F65DAA"/>
    <w:rsid w:val="00F75695"/>
    <w:rsid w:val="00F76261"/>
    <w:rsid w:val="00F7651C"/>
    <w:rsid w:val="00F7746C"/>
    <w:rsid w:val="00FA76C1"/>
    <w:rsid w:val="00FB1DE4"/>
    <w:rsid w:val="00FC2785"/>
    <w:rsid w:val="00FC3B28"/>
    <w:rsid w:val="00FC452F"/>
    <w:rsid w:val="00FC73EB"/>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581</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7</cp:revision>
  <cp:lastPrinted>2013-02-22T21:13:00Z</cp:lastPrinted>
  <dcterms:created xsi:type="dcterms:W3CDTF">2013-02-22T19:49:00Z</dcterms:created>
  <dcterms:modified xsi:type="dcterms:W3CDTF">2013-02-22T21:46:00Z</dcterms:modified>
</cp:coreProperties>
</file>