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E56D20" w:rsidRDefault="00732C9C" w:rsidP="00732C9C">
      <w:pPr>
        <w:jc w:val="center"/>
        <w:rPr>
          <w:b/>
          <w:sz w:val="21"/>
          <w:szCs w:val="23"/>
          <w:u w:val="single"/>
        </w:rPr>
      </w:pPr>
      <w:r w:rsidRPr="00E56D20">
        <w:rPr>
          <w:b/>
          <w:sz w:val="21"/>
          <w:szCs w:val="23"/>
          <w:u w:val="single"/>
        </w:rPr>
        <w:t xml:space="preserve">OCB AWARD NUMBER: </w:t>
      </w:r>
      <w:r w:rsidR="009A7446" w:rsidRPr="00E56D20">
        <w:rPr>
          <w:b/>
          <w:sz w:val="21"/>
          <w:szCs w:val="23"/>
          <w:u w:val="single"/>
        </w:rPr>
        <w:t>217</w:t>
      </w:r>
      <w:r w:rsidR="008E6C73">
        <w:rPr>
          <w:b/>
          <w:sz w:val="21"/>
          <w:szCs w:val="23"/>
          <w:u w:val="single"/>
        </w:rPr>
        <w:t>5</w:t>
      </w:r>
    </w:p>
    <w:p w:rsidR="00732C9C" w:rsidRPr="00E56D20" w:rsidRDefault="00732C9C" w:rsidP="00732C9C">
      <w:pPr>
        <w:jc w:val="center"/>
        <w:rPr>
          <w:sz w:val="21"/>
          <w:szCs w:val="23"/>
        </w:rPr>
      </w:pPr>
    </w:p>
    <w:tbl>
      <w:tblPr>
        <w:tblW w:w="10338" w:type="dxa"/>
        <w:tblLayout w:type="fixed"/>
        <w:tblLook w:val="0000" w:firstRow="0" w:lastRow="0" w:firstColumn="0" w:lastColumn="0" w:noHBand="0" w:noVBand="0"/>
      </w:tblPr>
      <w:tblGrid>
        <w:gridCol w:w="3730"/>
        <w:gridCol w:w="6608"/>
      </w:tblGrid>
      <w:tr w:rsidR="00732C9C" w:rsidRPr="00E56D20" w:rsidTr="00E56D20">
        <w:trPr>
          <w:trHeight w:val="234"/>
        </w:trPr>
        <w:tc>
          <w:tcPr>
            <w:tcW w:w="3730" w:type="dxa"/>
          </w:tcPr>
          <w:p w:rsidR="00732C9C" w:rsidRPr="00E56D20" w:rsidRDefault="00732C9C" w:rsidP="00732C9C">
            <w:pPr>
              <w:rPr>
                <w:sz w:val="22"/>
                <w:szCs w:val="24"/>
              </w:rPr>
            </w:pPr>
            <w:r w:rsidRPr="00E56D20">
              <w:rPr>
                <w:b/>
                <w:sz w:val="22"/>
                <w:szCs w:val="24"/>
              </w:rPr>
              <w:t>SUBJECT:</w:t>
            </w:r>
          </w:p>
        </w:tc>
        <w:tc>
          <w:tcPr>
            <w:tcW w:w="6608" w:type="dxa"/>
          </w:tcPr>
          <w:p w:rsidR="00732C9C" w:rsidRPr="008E6C73" w:rsidRDefault="00732C9C" w:rsidP="009A7446">
            <w:pPr>
              <w:rPr>
                <w:b/>
                <w:sz w:val="22"/>
                <w:szCs w:val="24"/>
              </w:rPr>
            </w:pPr>
            <w:r w:rsidRPr="008E6C73">
              <w:rPr>
                <w:b/>
                <w:sz w:val="22"/>
                <w:szCs w:val="24"/>
              </w:rPr>
              <w:t>ARB SUMMARY #</w:t>
            </w:r>
            <w:r w:rsidR="00F76261" w:rsidRPr="008E6C73">
              <w:rPr>
                <w:b/>
                <w:sz w:val="22"/>
                <w:szCs w:val="24"/>
              </w:rPr>
              <w:t xml:space="preserve"> </w:t>
            </w:r>
            <w:r w:rsidR="009A7446" w:rsidRPr="008E6C73">
              <w:rPr>
                <w:b/>
                <w:sz w:val="22"/>
                <w:szCs w:val="24"/>
              </w:rPr>
              <w:t>217</w:t>
            </w:r>
            <w:r w:rsidR="008E6C73" w:rsidRPr="008E6C73">
              <w:rPr>
                <w:b/>
                <w:sz w:val="22"/>
                <w:szCs w:val="24"/>
              </w:rPr>
              <w:t>5</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TO:</w:t>
            </w:r>
          </w:p>
        </w:tc>
        <w:tc>
          <w:tcPr>
            <w:tcW w:w="6608" w:type="dxa"/>
          </w:tcPr>
          <w:p w:rsidR="00732C9C" w:rsidRPr="008E6C73" w:rsidRDefault="00732C9C" w:rsidP="00732C9C">
            <w:pPr>
              <w:rPr>
                <w:b/>
                <w:sz w:val="22"/>
                <w:szCs w:val="24"/>
              </w:rPr>
            </w:pPr>
            <w:r w:rsidRPr="008E6C73">
              <w:rPr>
                <w:b/>
                <w:sz w:val="22"/>
                <w:szCs w:val="24"/>
              </w:rPr>
              <w:t>ALL ADVOCATES</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FROM:</w:t>
            </w:r>
          </w:p>
        </w:tc>
        <w:tc>
          <w:tcPr>
            <w:tcW w:w="6608" w:type="dxa"/>
          </w:tcPr>
          <w:p w:rsidR="00732C9C" w:rsidRPr="008E6C73" w:rsidRDefault="00675D06" w:rsidP="00732C9C">
            <w:pPr>
              <w:rPr>
                <w:b/>
                <w:sz w:val="22"/>
                <w:szCs w:val="24"/>
              </w:rPr>
            </w:pPr>
            <w:r w:rsidRPr="008E6C73">
              <w:rPr>
                <w:b/>
                <w:sz w:val="22"/>
                <w:szCs w:val="24"/>
              </w:rPr>
              <w:t>DAVID LONG</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OCB GRIEVANCE NUMBER:</w:t>
            </w:r>
          </w:p>
        </w:tc>
        <w:tc>
          <w:tcPr>
            <w:tcW w:w="6608" w:type="dxa"/>
          </w:tcPr>
          <w:p w:rsidR="00732C9C" w:rsidRPr="008E6C73" w:rsidRDefault="008E6C73" w:rsidP="00732C9C">
            <w:pPr>
              <w:rPr>
                <w:b/>
                <w:sz w:val="22"/>
                <w:szCs w:val="24"/>
              </w:rPr>
            </w:pPr>
            <w:r w:rsidRPr="008E6C73">
              <w:rPr>
                <w:b/>
                <w:sz w:val="22"/>
                <w:szCs w:val="24"/>
              </w:rPr>
              <w:t>35-18-20110720-0046-06-10</w:t>
            </w:r>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DEPARTMENT:</w:t>
            </w:r>
          </w:p>
        </w:tc>
        <w:tc>
          <w:tcPr>
            <w:tcW w:w="6608" w:type="dxa"/>
          </w:tcPr>
          <w:p w:rsidR="00732C9C" w:rsidRPr="008E6C73" w:rsidRDefault="008E6C73" w:rsidP="00732C9C">
            <w:pPr>
              <w:ind w:left="432" w:hanging="432"/>
              <w:rPr>
                <w:b/>
                <w:sz w:val="22"/>
                <w:szCs w:val="24"/>
              </w:rPr>
            </w:pPr>
            <w:r w:rsidRPr="008E6C73">
              <w:rPr>
                <w:b/>
                <w:sz w:val="22"/>
                <w:szCs w:val="24"/>
              </w:rPr>
              <w:t>Youth Services</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UNION:</w:t>
            </w:r>
          </w:p>
        </w:tc>
        <w:tc>
          <w:tcPr>
            <w:tcW w:w="6608" w:type="dxa"/>
          </w:tcPr>
          <w:p w:rsidR="00732C9C" w:rsidRPr="008E6C73" w:rsidRDefault="008E6C73" w:rsidP="00732C9C">
            <w:pPr>
              <w:ind w:left="432" w:hanging="432"/>
              <w:rPr>
                <w:b/>
                <w:sz w:val="22"/>
                <w:szCs w:val="24"/>
              </w:rPr>
            </w:pPr>
            <w:r w:rsidRPr="008E6C73">
              <w:rPr>
                <w:b/>
                <w:sz w:val="22"/>
                <w:szCs w:val="24"/>
              </w:rPr>
              <w:t>OEA/NEA</w:t>
            </w:r>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ARBITRATOR:</w:t>
            </w:r>
          </w:p>
        </w:tc>
        <w:tc>
          <w:tcPr>
            <w:tcW w:w="6608" w:type="dxa"/>
          </w:tcPr>
          <w:p w:rsidR="00732C9C" w:rsidRPr="008E6C73" w:rsidRDefault="008E6C73" w:rsidP="00E2703B">
            <w:pPr>
              <w:ind w:left="432" w:hanging="432"/>
              <w:rPr>
                <w:b/>
                <w:sz w:val="22"/>
                <w:szCs w:val="24"/>
              </w:rPr>
            </w:pPr>
            <w:r w:rsidRPr="008E6C73">
              <w:rPr>
                <w:b/>
                <w:sz w:val="22"/>
                <w:szCs w:val="24"/>
              </w:rPr>
              <w:t xml:space="preserve">Robert </w:t>
            </w:r>
            <w:proofErr w:type="spellStart"/>
            <w:r w:rsidRPr="008E6C73">
              <w:rPr>
                <w:b/>
                <w:sz w:val="22"/>
                <w:szCs w:val="24"/>
              </w:rPr>
              <w:t>Brookins</w:t>
            </w:r>
            <w:proofErr w:type="spellEnd"/>
          </w:p>
        </w:tc>
      </w:tr>
      <w:tr w:rsidR="00732C9C" w:rsidRPr="00E56D20" w:rsidTr="00E56D20">
        <w:trPr>
          <w:trHeight w:val="222"/>
        </w:trPr>
        <w:tc>
          <w:tcPr>
            <w:tcW w:w="3730" w:type="dxa"/>
          </w:tcPr>
          <w:p w:rsidR="00732C9C" w:rsidRPr="00E56D20" w:rsidRDefault="00732C9C" w:rsidP="00732C9C">
            <w:pPr>
              <w:rPr>
                <w:b/>
                <w:sz w:val="22"/>
                <w:szCs w:val="24"/>
              </w:rPr>
            </w:pPr>
            <w:r w:rsidRPr="00E56D20">
              <w:rPr>
                <w:b/>
                <w:sz w:val="22"/>
                <w:szCs w:val="24"/>
              </w:rPr>
              <w:t>GRIEVANT NAME:</w:t>
            </w:r>
          </w:p>
        </w:tc>
        <w:tc>
          <w:tcPr>
            <w:tcW w:w="6608" w:type="dxa"/>
          </w:tcPr>
          <w:p w:rsidR="00732C9C" w:rsidRPr="008E6C73" w:rsidRDefault="008E6C73" w:rsidP="00732C9C">
            <w:pPr>
              <w:ind w:left="432" w:hanging="432"/>
              <w:rPr>
                <w:b/>
                <w:sz w:val="22"/>
                <w:szCs w:val="24"/>
              </w:rPr>
            </w:pPr>
            <w:r w:rsidRPr="008E6C73">
              <w:rPr>
                <w:b/>
                <w:sz w:val="22"/>
                <w:szCs w:val="24"/>
              </w:rPr>
              <w:t xml:space="preserve">Gretchen </w:t>
            </w:r>
            <w:proofErr w:type="spellStart"/>
            <w:r w:rsidRPr="008E6C73">
              <w:rPr>
                <w:b/>
                <w:sz w:val="22"/>
                <w:szCs w:val="24"/>
              </w:rPr>
              <w:t>Zart</w:t>
            </w:r>
            <w:proofErr w:type="spellEnd"/>
          </w:p>
        </w:tc>
      </w:tr>
      <w:tr w:rsidR="00732C9C" w:rsidRPr="00E56D20" w:rsidTr="00E56D20">
        <w:trPr>
          <w:trHeight w:val="234"/>
        </w:trPr>
        <w:tc>
          <w:tcPr>
            <w:tcW w:w="3730" w:type="dxa"/>
          </w:tcPr>
          <w:p w:rsidR="00732C9C" w:rsidRPr="00E56D20" w:rsidRDefault="00732C9C" w:rsidP="00732C9C">
            <w:pPr>
              <w:rPr>
                <w:b/>
                <w:sz w:val="22"/>
                <w:szCs w:val="24"/>
              </w:rPr>
            </w:pPr>
            <w:r w:rsidRPr="00E56D20">
              <w:rPr>
                <w:b/>
                <w:sz w:val="22"/>
                <w:szCs w:val="24"/>
              </w:rPr>
              <w:t>MANAGEMENT ADVOCATE:</w:t>
            </w:r>
          </w:p>
        </w:tc>
        <w:tc>
          <w:tcPr>
            <w:tcW w:w="6608" w:type="dxa"/>
          </w:tcPr>
          <w:p w:rsidR="00732C9C" w:rsidRPr="008E6C73" w:rsidRDefault="008E6C73" w:rsidP="00732C9C">
            <w:pPr>
              <w:ind w:left="432" w:hanging="432"/>
              <w:rPr>
                <w:b/>
                <w:sz w:val="22"/>
                <w:szCs w:val="24"/>
              </w:rPr>
            </w:pPr>
            <w:r>
              <w:rPr>
                <w:b/>
                <w:sz w:val="22"/>
                <w:szCs w:val="24"/>
              </w:rPr>
              <w:t xml:space="preserve">Pat </w:t>
            </w:r>
            <w:proofErr w:type="spellStart"/>
            <w:r>
              <w:rPr>
                <w:b/>
                <w:sz w:val="22"/>
                <w:szCs w:val="24"/>
              </w:rPr>
              <w:t>Mogan</w:t>
            </w:r>
            <w:proofErr w:type="spellEnd"/>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UNION ADVOCATE:</w:t>
            </w:r>
          </w:p>
        </w:tc>
        <w:tc>
          <w:tcPr>
            <w:tcW w:w="6608" w:type="dxa"/>
          </w:tcPr>
          <w:p w:rsidR="00E56D20" w:rsidRPr="008E6C73" w:rsidRDefault="008E6C73" w:rsidP="00732C9C">
            <w:pPr>
              <w:ind w:left="432" w:hanging="432"/>
              <w:rPr>
                <w:b/>
                <w:sz w:val="22"/>
                <w:szCs w:val="24"/>
              </w:rPr>
            </w:pPr>
            <w:r>
              <w:rPr>
                <w:b/>
                <w:sz w:val="22"/>
                <w:szCs w:val="24"/>
              </w:rPr>
              <w:t>Bonnie Joseph</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ARBITRATION DATE:</w:t>
            </w:r>
          </w:p>
        </w:tc>
        <w:tc>
          <w:tcPr>
            <w:tcW w:w="6608" w:type="dxa"/>
          </w:tcPr>
          <w:p w:rsidR="00E56D20" w:rsidRPr="008E6C73" w:rsidRDefault="008E6C73" w:rsidP="00732C9C">
            <w:pPr>
              <w:ind w:left="432" w:hanging="432"/>
              <w:rPr>
                <w:b/>
                <w:sz w:val="22"/>
                <w:szCs w:val="24"/>
              </w:rPr>
            </w:pPr>
            <w:r w:rsidRPr="008E6C73">
              <w:rPr>
                <w:b/>
                <w:sz w:val="22"/>
                <w:szCs w:val="24"/>
              </w:rPr>
              <w:t>05/29/2012</w:t>
            </w:r>
          </w:p>
        </w:tc>
      </w:tr>
      <w:tr w:rsidR="00E56D20" w:rsidRPr="00E56D20" w:rsidTr="00E56D20">
        <w:trPr>
          <w:trHeight w:val="77"/>
        </w:trPr>
        <w:tc>
          <w:tcPr>
            <w:tcW w:w="3730" w:type="dxa"/>
          </w:tcPr>
          <w:p w:rsidR="00E56D20" w:rsidRPr="00E56D20" w:rsidRDefault="00E56D20" w:rsidP="00732C9C">
            <w:pPr>
              <w:rPr>
                <w:b/>
                <w:sz w:val="22"/>
                <w:szCs w:val="24"/>
              </w:rPr>
            </w:pPr>
            <w:r w:rsidRPr="00E56D20">
              <w:rPr>
                <w:b/>
                <w:sz w:val="22"/>
                <w:szCs w:val="24"/>
              </w:rPr>
              <w:t>DECISION DATE:</w:t>
            </w:r>
          </w:p>
        </w:tc>
        <w:tc>
          <w:tcPr>
            <w:tcW w:w="6608" w:type="dxa"/>
          </w:tcPr>
          <w:p w:rsidR="00E56D20" w:rsidRPr="008E6C73" w:rsidRDefault="008E6C73" w:rsidP="002A6C76">
            <w:pPr>
              <w:ind w:left="432" w:hanging="432"/>
              <w:rPr>
                <w:b/>
                <w:sz w:val="22"/>
                <w:szCs w:val="24"/>
              </w:rPr>
            </w:pPr>
            <w:r w:rsidRPr="008E6C73">
              <w:rPr>
                <w:b/>
                <w:sz w:val="22"/>
                <w:szCs w:val="24"/>
              </w:rPr>
              <w:t>08/24/2012</w:t>
            </w:r>
          </w:p>
        </w:tc>
      </w:tr>
      <w:tr w:rsidR="00E56D20" w:rsidRPr="00E56D20" w:rsidTr="00E56D20">
        <w:trPr>
          <w:trHeight w:val="222"/>
        </w:trPr>
        <w:tc>
          <w:tcPr>
            <w:tcW w:w="3730" w:type="dxa"/>
          </w:tcPr>
          <w:p w:rsidR="00E56D20" w:rsidRPr="00E56D20" w:rsidRDefault="00E56D20" w:rsidP="00732C9C">
            <w:pPr>
              <w:rPr>
                <w:b/>
                <w:sz w:val="22"/>
                <w:szCs w:val="24"/>
              </w:rPr>
            </w:pPr>
            <w:r w:rsidRPr="00E56D20">
              <w:rPr>
                <w:b/>
                <w:sz w:val="22"/>
                <w:szCs w:val="24"/>
              </w:rPr>
              <w:t>DECISION:</w:t>
            </w:r>
          </w:p>
        </w:tc>
        <w:tc>
          <w:tcPr>
            <w:tcW w:w="6608" w:type="dxa"/>
          </w:tcPr>
          <w:p w:rsidR="00E56D20" w:rsidRPr="008E6C73" w:rsidRDefault="008E6C73" w:rsidP="002A6C76">
            <w:pPr>
              <w:ind w:left="432" w:hanging="432"/>
              <w:rPr>
                <w:b/>
                <w:sz w:val="22"/>
                <w:szCs w:val="24"/>
              </w:rPr>
            </w:pPr>
            <w:r w:rsidRPr="008E6C73">
              <w:rPr>
                <w:b/>
                <w:sz w:val="22"/>
                <w:szCs w:val="24"/>
              </w:rPr>
              <w:t>DENIED</w:t>
            </w:r>
          </w:p>
        </w:tc>
      </w:tr>
      <w:tr w:rsidR="00E56D20" w:rsidRPr="00E56D20" w:rsidTr="00E56D20">
        <w:trPr>
          <w:trHeight w:val="234"/>
        </w:trPr>
        <w:tc>
          <w:tcPr>
            <w:tcW w:w="3730" w:type="dxa"/>
          </w:tcPr>
          <w:p w:rsidR="00E56D20" w:rsidRPr="00E56D20" w:rsidRDefault="00E56D20" w:rsidP="00732C9C">
            <w:pPr>
              <w:rPr>
                <w:b/>
                <w:sz w:val="22"/>
                <w:szCs w:val="24"/>
              </w:rPr>
            </w:pPr>
            <w:r w:rsidRPr="00E56D20">
              <w:rPr>
                <w:b/>
                <w:sz w:val="22"/>
                <w:szCs w:val="24"/>
              </w:rPr>
              <w:t>CONTRACT SECTIONS:</w:t>
            </w:r>
          </w:p>
        </w:tc>
        <w:tc>
          <w:tcPr>
            <w:tcW w:w="6608" w:type="dxa"/>
          </w:tcPr>
          <w:p w:rsidR="00E56D20" w:rsidRPr="008E6C73" w:rsidRDefault="008E6C73" w:rsidP="00732C9C">
            <w:pPr>
              <w:ind w:left="432" w:hanging="432"/>
              <w:rPr>
                <w:b/>
                <w:sz w:val="22"/>
                <w:szCs w:val="24"/>
              </w:rPr>
            </w:pPr>
            <w:r>
              <w:rPr>
                <w:b/>
                <w:sz w:val="22"/>
                <w:szCs w:val="24"/>
              </w:rPr>
              <w:t>Article 3.01 – Management Rights; Article 6.05 Arbitrator Limitations; Article 17.06 Reassignment</w:t>
            </w:r>
          </w:p>
        </w:tc>
      </w:tr>
      <w:tr w:rsidR="00E56D20" w:rsidRPr="00E56D20" w:rsidTr="00E56D20">
        <w:trPr>
          <w:trHeight w:val="453"/>
        </w:trPr>
        <w:tc>
          <w:tcPr>
            <w:tcW w:w="3730" w:type="dxa"/>
          </w:tcPr>
          <w:p w:rsidR="00E56D20" w:rsidRPr="00E56D20" w:rsidRDefault="00E56D20" w:rsidP="00732C9C">
            <w:pPr>
              <w:rPr>
                <w:b/>
                <w:sz w:val="22"/>
                <w:szCs w:val="24"/>
              </w:rPr>
            </w:pPr>
            <w:r w:rsidRPr="00E56D20">
              <w:rPr>
                <w:b/>
                <w:sz w:val="22"/>
                <w:szCs w:val="24"/>
              </w:rPr>
              <w:t>OCB RESEARCH CODES:</w:t>
            </w:r>
          </w:p>
        </w:tc>
        <w:tc>
          <w:tcPr>
            <w:tcW w:w="6608" w:type="dxa"/>
          </w:tcPr>
          <w:p w:rsidR="00E56D20" w:rsidRPr="008E6C73" w:rsidRDefault="008E6C73" w:rsidP="002A6C76">
            <w:pPr>
              <w:ind w:left="432" w:hanging="432"/>
              <w:rPr>
                <w:b/>
                <w:sz w:val="22"/>
                <w:szCs w:val="24"/>
              </w:rPr>
            </w:pPr>
            <w:r>
              <w:rPr>
                <w:b/>
                <w:sz w:val="22"/>
                <w:szCs w:val="24"/>
              </w:rPr>
              <w:t>119.21 – Reassignment; 2.01 – Management Rights</w:t>
            </w:r>
          </w:p>
        </w:tc>
      </w:tr>
    </w:tbl>
    <w:p w:rsidR="00CD492B" w:rsidRPr="006D3853" w:rsidRDefault="00994504" w:rsidP="00523DDC">
      <w:pPr>
        <w:jc w:val="both"/>
        <w:rPr>
          <w:b/>
          <w:sz w:val="22"/>
          <w:szCs w:val="22"/>
        </w:rPr>
      </w:pPr>
      <w:r w:rsidRPr="006D3853">
        <w:rPr>
          <w:b/>
          <w:sz w:val="22"/>
          <w:szCs w:val="22"/>
        </w:rPr>
        <w:t xml:space="preserve">HOLDING: </w:t>
      </w:r>
      <w:r w:rsidR="006F53ED" w:rsidRPr="006D3853">
        <w:rPr>
          <w:b/>
          <w:sz w:val="22"/>
          <w:szCs w:val="22"/>
        </w:rPr>
        <w:t>Grievance denied.  The Arbitrator found that Management acted within its rights under the collective bargaining agreement to reassign the grievant</w:t>
      </w:r>
      <w:r w:rsidR="00CD492B" w:rsidRPr="006D3853">
        <w:rPr>
          <w:b/>
          <w:sz w:val="22"/>
          <w:szCs w:val="22"/>
        </w:rPr>
        <w:t xml:space="preserve">.  The grievant was originally an English and Social Studies teacher at Circleville Juvenile Correctional Facility (CJCF) and was reassigned to teach </w:t>
      </w:r>
      <w:r w:rsidR="005906A0">
        <w:rPr>
          <w:b/>
          <w:sz w:val="22"/>
          <w:szCs w:val="22"/>
        </w:rPr>
        <w:t>Reading</w:t>
      </w:r>
      <w:r w:rsidR="00CD492B" w:rsidRPr="006D3853">
        <w:rPr>
          <w:b/>
          <w:sz w:val="22"/>
          <w:szCs w:val="22"/>
        </w:rPr>
        <w:t xml:space="preserve"> 180 because she was the most certified English teacher at the facility and because the current </w:t>
      </w:r>
      <w:r w:rsidR="005906A0">
        <w:rPr>
          <w:b/>
          <w:sz w:val="22"/>
          <w:szCs w:val="22"/>
        </w:rPr>
        <w:t>Reading</w:t>
      </w:r>
      <w:r w:rsidR="00CD492B" w:rsidRPr="006D3853">
        <w:rPr>
          <w:b/>
          <w:sz w:val="22"/>
          <w:szCs w:val="22"/>
        </w:rPr>
        <w:t xml:space="preserve"> 180 teacher had resigned.  The Arbitrator states that per the contract, Management has to the right to reassign and modify the reassignment within a facility regardless if the position is temporary or permanent.</w:t>
      </w:r>
    </w:p>
    <w:p w:rsidR="00CD492B" w:rsidRPr="006D3853" w:rsidRDefault="00CD492B" w:rsidP="00523DDC">
      <w:pPr>
        <w:jc w:val="both"/>
        <w:rPr>
          <w:b/>
          <w:sz w:val="22"/>
          <w:szCs w:val="22"/>
        </w:rPr>
      </w:pPr>
    </w:p>
    <w:p w:rsidR="00D436B2" w:rsidRPr="006D3853" w:rsidRDefault="00CD492B" w:rsidP="00523DDC">
      <w:pPr>
        <w:jc w:val="both"/>
        <w:rPr>
          <w:sz w:val="22"/>
          <w:szCs w:val="22"/>
        </w:rPr>
      </w:pPr>
      <w:r w:rsidRPr="006D3853">
        <w:rPr>
          <w:sz w:val="22"/>
          <w:szCs w:val="22"/>
        </w:rPr>
        <w:t xml:space="preserve">The grievant is an English Teacher III with over 6 years of experience and no prior disciplines.  DYS announced that reductions in funding would force CJCF to discontinue the class Reading 180, effective June 30, 2011.  At the time of this announcement the grievant taught English and Social Studies.  In April of 2011, the grievant was asked by then </w:t>
      </w:r>
      <w:r w:rsidR="00D436B2" w:rsidRPr="006D3853">
        <w:rPr>
          <w:sz w:val="22"/>
          <w:szCs w:val="22"/>
        </w:rPr>
        <w:t>Principal</w:t>
      </w:r>
      <w:r w:rsidRPr="006D3853">
        <w:rPr>
          <w:sz w:val="22"/>
          <w:szCs w:val="22"/>
        </w:rPr>
        <w:t xml:space="preserve"> Kirk Cameron to teach Reading 180 because the current teacher was leaving.  The grievant agreed to teach the class until June 30, 2011, at which time she</w:t>
      </w:r>
      <w:r w:rsidR="005906A0">
        <w:rPr>
          <w:sz w:val="22"/>
          <w:szCs w:val="22"/>
        </w:rPr>
        <w:t xml:space="preserve"> would</w:t>
      </w:r>
      <w:r w:rsidRPr="006D3853">
        <w:rPr>
          <w:sz w:val="22"/>
          <w:szCs w:val="22"/>
        </w:rPr>
        <w:t xml:space="preserve"> resume teaching English and Social Studies.  </w:t>
      </w:r>
      <w:r w:rsidR="00D436B2" w:rsidRPr="006D3853">
        <w:rPr>
          <w:sz w:val="22"/>
          <w:szCs w:val="22"/>
        </w:rPr>
        <w:t>Principal</w:t>
      </w:r>
      <w:r w:rsidRPr="006D3853">
        <w:rPr>
          <w:sz w:val="22"/>
          <w:szCs w:val="22"/>
        </w:rPr>
        <w:t xml:space="preserve"> Cameron resigned before June 30, 2011 and the new </w:t>
      </w:r>
      <w:r w:rsidR="00D436B2" w:rsidRPr="006D3853">
        <w:rPr>
          <w:sz w:val="22"/>
          <w:szCs w:val="22"/>
        </w:rPr>
        <w:t>Principal</w:t>
      </w:r>
      <w:r w:rsidRPr="006D3853">
        <w:rPr>
          <w:sz w:val="22"/>
          <w:szCs w:val="22"/>
        </w:rPr>
        <w:t xml:space="preserve"> kept the grievant teaching Reading 180 past the June 30</w:t>
      </w:r>
      <w:r w:rsidRPr="006D3853">
        <w:rPr>
          <w:sz w:val="22"/>
          <w:szCs w:val="22"/>
          <w:vertAlign w:val="superscript"/>
        </w:rPr>
        <w:t>th</w:t>
      </w:r>
      <w:r w:rsidRPr="006D3853">
        <w:rPr>
          <w:sz w:val="22"/>
          <w:szCs w:val="22"/>
        </w:rPr>
        <w:t xml:space="preserve"> date</w:t>
      </w:r>
      <w:r w:rsidR="00D436B2" w:rsidRPr="006D3853">
        <w:rPr>
          <w:sz w:val="22"/>
          <w:szCs w:val="22"/>
        </w:rPr>
        <w:t xml:space="preserve"> and did not return the grievant to teach English and Social Studies</w:t>
      </w:r>
      <w:r w:rsidRPr="006D3853">
        <w:rPr>
          <w:sz w:val="22"/>
          <w:szCs w:val="22"/>
        </w:rPr>
        <w:t>.</w:t>
      </w:r>
      <w:r w:rsidR="00D436B2" w:rsidRPr="006D3853">
        <w:rPr>
          <w:sz w:val="22"/>
          <w:szCs w:val="22"/>
        </w:rPr>
        <w:t xml:space="preserve">  The grievant objected to continuing to teach and unsuccessfully applied for a posted position in English.  </w:t>
      </w:r>
    </w:p>
    <w:p w:rsidR="00D436B2" w:rsidRPr="006D3853" w:rsidRDefault="00D436B2" w:rsidP="00523DDC">
      <w:pPr>
        <w:jc w:val="both"/>
        <w:rPr>
          <w:sz w:val="22"/>
          <w:szCs w:val="22"/>
        </w:rPr>
      </w:pPr>
    </w:p>
    <w:p w:rsidR="00D436B2" w:rsidRPr="006D3853" w:rsidRDefault="00D436B2" w:rsidP="00523DDC">
      <w:pPr>
        <w:jc w:val="both"/>
        <w:rPr>
          <w:sz w:val="22"/>
          <w:szCs w:val="22"/>
        </w:rPr>
      </w:pPr>
      <w:r w:rsidRPr="006D3853">
        <w:rPr>
          <w:sz w:val="22"/>
          <w:szCs w:val="22"/>
        </w:rPr>
        <w:t xml:space="preserve">The Union argues that Article 17, (17.06), limit the Agency’s rights under Article 3, (3.01), of the Management’s Rights Clause.  The Union argues that Article 3.01 does not authorize DYS to unilaterally convert the </w:t>
      </w:r>
      <w:proofErr w:type="spellStart"/>
      <w:r w:rsidRPr="006D3853">
        <w:rPr>
          <w:sz w:val="22"/>
          <w:szCs w:val="22"/>
        </w:rPr>
        <w:t>grievant’s</w:t>
      </w:r>
      <w:proofErr w:type="spellEnd"/>
      <w:r w:rsidRPr="006D3853">
        <w:rPr>
          <w:sz w:val="22"/>
          <w:szCs w:val="22"/>
        </w:rPr>
        <w:t xml:space="preserve"> temporary assignment into a permanent one.  The Union further argues that Management never gathered information regarding the </w:t>
      </w:r>
      <w:proofErr w:type="spellStart"/>
      <w:r w:rsidRPr="006D3853">
        <w:rPr>
          <w:sz w:val="22"/>
          <w:szCs w:val="22"/>
        </w:rPr>
        <w:t>grievant’s</w:t>
      </w:r>
      <w:proofErr w:type="spellEnd"/>
      <w:r w:rsidRPr="006D3853">
        <w:rPr>
          <w:sz w:val="22"/>
          <w:szCs w:val="22"/>
        </w:rPr>
        <w:t xml:space="preserve"> knowledge regarding her agreement with Principal Cameron or her testimony.  The Union states that if DYS decided to discontinue Reading 180, it should have invoked Article 18 (18.12), which has a two year recall window for either B.U. members laid off or those holding recall rights.  Those rights would have been extended to June 2013.  If a recall list is exhausted, DYS must post openings pursuant to Article 17 (17.02).</w:t>
      </w:r>
    </w:p>
    <w:p w:rsidR="00D436B2" w:rsidRPr="006D3853" w:rsidRDefault="00D436B2" w:rsidP="00523DDC">
      <w:pPr>
        <w:jc w:val="both"/>
        <w:rPr>
          <w:sz w:val="22"/>
          <w:szCs w:val="22"/>
        </w:rPr>
      </w:pPr>
    </w:p>
    <w:p w:rsidR="00B118BF" w:rsidRPr="006D3853" w:rsidRDefault="00D436B2" w:rsidP="00523DDC">
      <w:pPr>
        <w:jc w:val="both"/>
        <w:rPr>
          <w:sz w:val="22"/>
          <w:szCs w:val="22"/>
        </w:rPr>
      </w:pPr>
      <w:r w:rsidRPr="006D3853">
        <w:rPr>
          <w:sz w:val="22"/>
          <w:szCs w:val="22"/>
        </w:rPr>
        <w:t>Management argues that funding for Reading 180 ceased on June 30, 2011, but DYS continued the program.  The agreement that the griev</w:t>
      </w:r>
      <w:r w:rsidR="00B118BF" w:rsidRPr="006D3853">
        <w:rPr>
          <w:sz w:val="22"/>
          <w:szCs w:val="22"/>
        </w:rPr>
        <w:t xml:space="preserve">ant had with Principal Cameron is hearsay and there is no evidence of this agreement.  Principal Cameron did not testify at the hearing </w:t>
      </w:r>
      <w:proofErr w:type="gramStart"/>
      <w:r w:rsidR="00B118BF" w:rsidRPr="006D3853">
        <w:rPr>
          <w:sz w:val="22"/>
          <w:szCs w:val="22"/>
        </w:rPr>
        <w:t>or</w:t>
      </w:r>
      <w:proofErr w:type="gramEnd"/>
      <w:r w:rsidR="00B118BF" w:rsidRPr="006D3853">
        <w:rPr>
          <w:sz w:val="22"/>
          <w:szCs w:val="22"/>
        </w:rPr>
        <w:t xml:space="preserve"> at any time regarding this agreement and there was no corroborative evidence brought forth by the Union that supports an agreement ever having existed.  Assistant Principal Blevins is on record stating that the first time he had heard of Principal Cameron’s alleged agreement was during grievance negotiations in this case.  Management also states that under Article 17.06, they have the right to unilaterally reassign employees temporarily or permanently within the same work facility and that Management is not contractually prohibited from: interchanging temporary and permanent work assignments, </w:t>
      </w:r>
      <w:r w:rsidR="005906A0">
        <w:rPr>
          <w:sz w:val="22"/>
          <w:szCs w:val="22"/>
        </w:rPr>
        <w:t xml:space="preserve">or </w:t>
      </w:r>
      <w:bookmarkStart w:id="0" w:name="_GoBack"/>
      <w:bookmarkEnd w:id="0"/>
      <w:r w:rsidR="00B118BF" w:rsidRPr="006D3853">
        <w:rPr>
          <w:sz w:val="22"/>
          <w:szCs w:val="22"/>
        </w:rPr>
        <w:t>extending temporary work assignments.</w:t>
      </w:r>
    </w:p>
    <w:p w:rsidR="00B118BF" w:rsidRPr="006D3853" w:rsidRDefault="00B118BF" w:rsidP="00523DDC">
      <w:pPr>
        <w:jc w:val="both"/>
        <w:rPr>
          <w:sz w:val="22"/>
          <w:szCs w:val="22"/>
        </w:rPr>
      </w:pPr>
    </w:p>
    <w:p w:rsidR="00B118BF" w:rsidRPr="006D3853" w:rsidRDefault="00C54874" w:rsidP="00523DDC">
      <w:pPr>
        <w:jc w:val="both"/>
        <w:rPr>
          <w:sz w:val="22"/>
          <w:szCs w:val="22"/>
        </w:rPr>
      </w:pPr>
      <w:r w:rsidRPr="006D3853">
        <w:rPr>
          <w:sz w:val="22"/>
          <w:szCs w:val="22"/>
        </w:rPr>
        <w:lastRenderedPageBreak/>
        <w:t>The Arbitrator found that no language cited by the Union in Articles 3.01 or 17.06 prohibit or prevent Management from reassigning or modifying a reassignment for an Employee.  The Arbitrator found that because Principal</w:t>
      </w:r>
      <w:r w:rsidR="006D3853">
        <w:rPr>
          <w:sz w:val="22"/>
          <w:szCs w:val="22"/>
        </w:rPr>
        <w:t xml:space="preserve"> Cameron</w:t>
      </w:r>
      <w:r w:rsidRPr="006D3853">
        <w:rPr>
          <w:sz w:val="22"/>
          <w:szCs w:val="22"/>
        </w:rPr>
        <w:t xml:space="preserve"> did not testify at the arbitration hearing, the </w:t>
      </w:r>
      <w:proofErr w:type="spellStart"/>
      <w:r w:rsidRPr="006D3853">
        <w:rPr>
          <w:sz w:val="22"/>
          <w:szCs w:val="22"/>
        </w:rPr>
        <w:t>grievant’s</w:t>
      </w:r>
      <w:proofErr w:type="spellEnd"/>
      <w:r w:rsidRPr="006D3853">
        <w:rPr>
          <w:sz w:val="22"/>
          <w:szCs w:val="22"/>
        </w:rPr>
        <w:t xml:space="preserve"> alleged agreement with the Principal can only be heard as hearsay and taken for face value.  Due to the fact that there was no corroborative evidence to support this</w:t>
      </w:r>
      <w:r w:rsidR="006D3853">
        <w:rPr>
          <w:sz w:val="22"/>
          <w:szCs w:val="22"/>
        </w:rPr>
        <w:t xml:space="preserve"> verbal agreement</w:t>
      </w:r>
      <w:r w:rsidRPr="006D3853">
        <w:rPr>
          <w:sz w:val="22"/>
          <w:szCs w:val="22"/>
        </w:rPr>
        <w:t xml:space="preserve">, it does not merit much weight regarding the argument.  The Arbitrator states that regardless of duration of the working assignment (Permanent or Temporary), the language clearly states that it is upon the Employer’s initiative </w:t>
      </w:r>
      <w:r w:rsidR="006D3853" w:rsidRPr="006D3853">
        <w:rPr>
          <w:sz w:val="22"/>
          <w:szCs w:val="22"/>
        </w:rPr>
        <w:t xml:space="preserve">to assign (reassign) employees and that that authority lies solely with the Employer.  </w:t>
      </w:r>
      <w:r w:rsidR="006D3853">
        <w:rPr>
          <w:sz w:val="22"/>
          <w:szCs w:val="22"/>
        </w:rPr>
        <w:t>The grievance was</w:t>
      </w:r>
      <w:r w:rsidR="006D3853" w:rsidRPr="006D3853">
        <w:rPr>
          <w:sz w:val="22"/>
          <w:szCs w:val="22"/>
        </w:rPr>
        <w:t xml:space="preserve"> denied. </w:t>
      </w:r>
      <w:r w:rsidR="00B118BF" w:rsidRPr="006D3853">
        <w:rPr>
          <w:sz w:val="22"/>
          <w:szCs w:val="22"/>
        </w:rPr>
        <w:t xml:space="preserve">   </w:t>
      </w:r>
    </w:p>
    <w:p w:rsidR="00B118BF" w:rsidRDefault="00B118BF" w:rsidP="00523DDC">
      <w:pPr>
        <w:jc w:val="both"/>
        <w:rPr>
          <w:sz w:val="21"/>
          <w:szCs w:val="23"/>
        </w:rPr>
      </w:pPr>
    </w:p>
    <w:p w:rsidR="00A43890" w:rsidRPr="00CD492B" w:rsidRDefault="00CD492B" w:rsidP="00523DDC">
      <w:pPr>
        <w:jc w:val="both"/>
        <w:rPr>
          <w:sz w:val="21"/>
          <w:szCs w:val="23"/>
        </w:rPr>
      </w:pPr>
      <w:r>
        <w:rPr>
          <w:sz w:val="21"/>
          <w:szCs w:val="23"/>
        </w:rPr>
        <w:t xml:space="preserve">  </w:t>
      </w:r>
    </w:p>
    <w:sectPr w:rsidR="00A43890" w:rsidRPr="00CD492B"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F16D8"/>
    <w:rsid w:val="00101653"/>
    <w:rsid w:val="00114C19"/>
    <w:rsid w:val="00145EB4"/>
    <w:rsid w:val="00150B77"/>
    <w:rsid w:val="00183753"/>
    <w:rsid w:val="00183B43"/>
    <w:rsid w:val="00194A0E"/>
    <w:rsid w:val="001A6F4C"/>
    <w:rsid w:val="001B2811"/>
    <w:rsid w:val="001B2FE2"/>
    <w:rsid w:val="002056BF"/>
    <w:rsid w:val="00210A77"/>
    <w:rsid w:val="002154BC"/>
    <w:rsid w:val="00240EA9"/>
    <w:rsid w:val="00252C63"/>
    <w:rsid w:val="00256D5D"/>
    <w:rsid w:val="002920F5"/>
    <w:rsid w:val="002A492B"/>
    <w:rsid w:val="002A6C76"/>
    <w:rsid w:val="002D51B2"/>
    <w:rsid w:val="002F1FF0"/>
    <w:rsid w:val="00311C7E"/>
    <w:rsid w:val="00331F7D"/>
    <w:rsid w:val="003441C4"/>
    <w:rsid w:val="00352EDD"/>
    <w:rsid w:val="00364B87"/>
    <w:rsid w:val="00384E3E"/>
    <w:rsid w:val="003A0F61"/>
    <w:rsid w:val="003E4554"/>
    <w:rsid w:val="003E4D20"/>
    <w:rsid w:val="00400993"/>
    <w:rsid w:val="004265A5"/>
    <w:rsid w:val="00430400"/>
    <w:rsid w:val="00432A30"/>
    <w:rsid w:val="0043333B"/>
    <w:rsid w:val="004736E8"/>
    <w:rsid w:val="004B064E"/>
    <w:rsid w:val="004D25C5"/>
    <w:rsid w:val="004E367B"/>
    <w:rsid w:val="004E771A"/>
    <w:rsid w:val="00504083"/>
    <w:rsid w:val="00506E73"/>
    <w:rsid w:val="005141E9"/>
    <w:rsid w:val="00523DDC"/>
    <w:rsid w:val="0053358E"/>
    <w:rsid w:val="00542CDA"/>
    <w:rsid w:val="00565596"/>
    <w:rsid w:val="005906A0"/>
    <w:rsid w:val="005A5E5C"/>
    <w:rsid w:val="005C27B8"/>
    <w:rsid w:val="005F7D6E"/>
    <w:rsid w:val="00601CAD"/>
    <w:rsid w:val="00617BDA"/>
    <w:rsid w:val="00624565"/>
    <w:rsid w:val="006274BC"/>
    <w:rsid w:val="00641968"/>
    <w:rsid w:val="00646AFD"/>
    <w:rsid w:val="00675D06"/>
    <w:rsid w:val="00684B24"/>
    <w:rsid w:val="006D084B"/>
    <w:rsid w:val="006D3853"/>
    <w:rsid w:val="006D385F"/>
    <w:rsid w:val="006E499A"/>
    <w:rsid w:val="006F53ED"/>
    <w:rsid w:val="006F58E1"/>
    <w:rsid w:val="00711929"/>
    <w:rsid w:val="0073294E"/>
    <w:rsid w:val="00732C9C"/>
    <w:rsid w:val="00755580"/>
    <w:rsid w:val="00786891"/>
    <w:rsid w:val="007A6EC2"/>
    <w:rsid w:val="007B1AA5"/>
    <w:rsid w:val="007B47AD"/>
    <w:rsid w:val="007C2CE2"/>
    <w:rsid w:val="007D54D2"/>
    <w:rsid w:val="007E065C"/>
    <w:rsid w:val="007E4098"/>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13DD9"/>
    <w:rsid w:val="00922787"/>
    <w:rsid w:val="0094108B"/>
    <w:rsid w:val="00945348"/>
    <w:rsid w:val="009459B1"/>
    <w:rsid w:val="00973E8D"/>
    <w:rsid w:val="00975184"/>
    <w:rsid w:val="00994504"/>
    <w:rsid w:val="009A3C1C"/>
    <w:rsid w:val="009A7446"/>
    <w:rsid w:val="009B2757"/>
    <w:rsid w:val="009C015E"/>
    <w:rsid w:val="009D04C6"/>
    <w:rsid w:val="009D5316"/>
    <w:rsid w:val="009E21E4"/>
    <w:rsid w:val="009F5999"/>
    <w:rsid w:val="009F66FE"/>
    <w:rsid w:val="00A002E0"/>
    <w:rsid w:val="00A03DCD"/>
    <w:rsid w:val="00A30A04"/>
    <w:rsid w:val="00A43890"/>
    <w:rsid w:val="00A4574F"/>
    <w:rsid w:val="00A504F1"/>
    <w:rsid w:val="00A536EB"/>
    <w:rsid w:val="00AE04C2"/>
    <w:rsid w:val="00AE2F2B"/>
    <w:rsid w:val="00B118BF"/>
    <w:rsid w:val="00B532C4"/>
    <w:rsid w:val="00B55B7C"/>
    <w:rsid w:val="00B76117"/>
    <w:rsid w:val="00B77AF4"/>
    <w:rsid w:val="00B860DF"/>
    <w:rsid w:val="00B9364E"/>
    <w:rsid w:val="00BA3DC3"/>
    <w:rsid w:val="00BB3A5A"/>
    <w:rsid w:val="00BB6D9F"/>
    <w:rsid w:val="00BE5B4C"/>
    <w:rsid w:val="00C01A30"/>
    <w:rsid w:val="00C24833"/>
    <w:rsid w:val="00C355CA"/>
    <w:rsid w:val="00C53503"/>
    <w:rsid w:val="00C54874"/>
    <w:rsid w:val="00C61A8C"/>
    <w:rsid w:val="00C848E3"/>
    <w:rsid w:val="00C87111"/>
    <w:rsid w:val="00CA346A"/>
    <w:rsid w:val="00CA66B3"/>
    <w:rsid w:val="00CD492B"/>
    <w:rsid w:val="00CE4417"/>
    <w:rsid w:val="00CF3087"/>
    <w:rsid w:val="00D01E4F"/>
    <w:rsid w:val="00D14075"/>
    <w:rsid w:val="00D436B2"/>
    <w:rsid w:val="00D54355"/>
    <w:rsid w:val="00DA09B7"/>
    <w:rsid w:val="00DA3E8A"/>
    <w:rsid w:val="00DA48BF"/>
    <w:rsid w:val="00DB5E70"/>
    <w:rsid w:val="00E01FC6"/>
    <w:rsid w:val="00E103C7"/>
    <w:rsid w:val="00E26535"/>
    <w:rsid w:val="00E2703B"/>
    <w:rsid w:val="00E33E99"/>
    <w:rsid w:val="00E463F7"/>
    <w:rsid w:val="00E56D20"/>
    <w:rsid w:val="00E71F19"/>
    <w:rsid w:val="00EA0993"/>
    <w:rsid w:val="00EE04EB"/>
    <w:rsid w:val="00EE788A"/>
    <w:rsid w:val="00F110C8"/>
    <w:rsid w:val="00F1566A"/>
    <w:rsid w:val="00F24A7E"/>
    <w:rsid w:val="00F4317E"/>
    <w:rsid w:val="00F545E1"/>
    <w:rsid w:val="00F56C24"/>
    <w:rsid w:val="00F75695"/>
    <w:rsid w:val="00F76261"/>
    <w:rsid w:val="00F7651C"/>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cp:lastPrinted>2012-08-16T13:33:00Z</cp:lastPrinted>
  <dcterms:created xsi:type="dcterms:W3CDTF">2012-09-06T18:44:00Z</dcterms:created>
  <dcterms:modified xsi:type="dcterms:W3CDTF">2012-09-06T19:35:00Z</dcterms:modified>
</cp:coreProperties>
</file>