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E56D20" w:rsidRDefault="00732C9C" w:rsidP="00732C9C">
      <w:pPr>
        <w:jc w:val="center"/>
        <w:rPr>
          <w:b/>
          <w:sz w:val="21"/>
          <w:szCs w:val="23"/>
          <w:u w:val="single"/>
        </w:rPr>
      </w:pPr>
      <w:r w:rsidRPr="00E56D20">
        <w:rPr>
          <w:b/>
          <w:sz w:val="21"/>
          <w:szCs w:val="23"/>
          <w:u w:val="single"/>
        </w:rPr>
        <w:t xml:space="preserve">OCB AWARD NUMBER: </w:t>
      </w:r>
      <w:r w:rsidR="009A7446" w:rsidRPr="00E56D20">
        <w:rPr>
          <w:b/>
          <w:sz w:val="21"/>
          <w:szCs w:val="23"/>
          <w:u w:val="single"/>
        </w:rPr>
        <w:t>217</w:t>
      </w:r>
      <w:r w:rsidR="002A6C76" w:rsidRPr="00E56D20">
        <w:rPr>
          <w:b/>
          <w:sz w:val="21"/>
          <w:szCs w:val="23"/>
          <w:u w:val="single"/>
        </w:rPr>
        <w:t>3</w:t>
      </w:r>
    </w:p>
    <w:p w:rsidR="00732C9C" w:rsidRPr="00E56D20" w:rsidRDefault="00732C9C" w:rsidP="00732C9C">
      <w:pPr>
        <w:jc w:val="center"/>
        <w:rPr>
          <w:sz w:val="21"/>
          <w:szCs w:val="23"/>
        </w:rPr>
      </w:pPr>
    </w:p>
    <w:tbl>
      <w:tblPr>
        <w:tblW w:w="10338" w:type="dxa"/>
        <w:tblLayout w:type="fixed"/>
        <w:tblLook w:val="0000" w:firstRow="0" w:lastRow="0" w:firstColumn="0" w:lastColumn="0" w:noHBand="0" w:noVBand="0"/>
      </w:tblPr>
      <w:tblGrid>
        <w:gridCol w:w="3730"/>
        <w:gridCol w:w="6608"/>
      </w:tblGrid>
      <w:tr w:rsidR="00732C9C" w:rsidRPr="00E56D20" w:rsidTr="00E56D20">
        <w:trPr>
          <w:trHeight w:val="234"/>
        </w:trPr>
        <w:tc>
          <w:tcPr>
            <w:tcW w:w="3730" w:type="dxa"/>
          </w:tcPr>
          <w:p w:rsidR="00732C9C" w:rsidRPr="00E56D20" w:rsidRDefault="00732C9C" w:rsidP="00732C9C">
            <w:pPr>
              <w:rPr>
                <w:sz w:val="22"/>
                <w:szCs w:val="24"/>
              </w:rPr>
            </w:pPr>
            <w:r w:rsidRPr="00E56D20">
              <w:rPr>
                <w:b/>
                <w:sz w:val="22"/>
                <w:szCs w:val="24"/>
              </w:rPr>
              <w:t>SUBJECT:</w:t>
            </w:r>
          </w:p>
        </w:tc>
        <w:tc>
          <w:tcPr>
            <w:tcW w:w="6608" w:type="dxa"/>
          </w:tcPr>
          <w:p w:rsidR="00732C9C" w:rsidRPr="00E56D20" w:rsidRDefault="00732C9C" w:rsidP="009A7446">
            <w:pPr>
              <w:rPr>
                <w:sz w:val="22"/>
                <w:szCs w:val="24"/>
              </w:rPr>
            </w:pPr>
            <w:r w:rsidRPr="00E56D20">
              <w:rPr>
                <w:b/>
                <w:sz w:val="22"/>
                <w:szCs w:val="24"/>
              </w:rPr>
              <w:t>ARB SUMMARY #</w:t>
            </w:r>
            <w:r w:rsidR="00F76261" w:rsidRPr="00E56D20">
              <w:rPr>
                <w:b/>
                <w:sz w:val="22"/>
                <w:szCs w:val="24"/>
              </w:rPr>
              <w:t xml:space="preserve"> </w:t>
            </w:r>
            <w:r w:rsidR="009A7446" w:rsidRPr="00E56D20">
              <w:rPr>
                <w:b/>
                <w:sz w:val="22"/>
                <w:szCs w:val="24"/>
              </w:rPr>
              <w:t>217</w:t>
            </w:r>
            <w:r w:rsidR="002A6C76" w:rsidRPr="00E56D20">
              <w:rPr>
                <w:b/>
                <w:sz w:val="22"/>
                <w:szCs w:val="24"/>
              </w:rPr>
              <w:t>3</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TO:</w:t>
            </w:r>
          </w:p>
        </w:tc>
        <w:tc>
          <w:tcPr>
            <w:tcW w:w="6608" w:type="dxa"/>
          </w:tcPr>
          <w:p w:rsidR="00732C9C" w:rsidRPr="00E56D20" w:rsidRDefault="00732C9C" w:rsidP="00732C9C">
            <w:pPr>
              <w:rPr>
                <w:b/>
                <w:sz w:val="22"/>
                <w:szCs w:val="24"/>
              </w:rPr>
            </w:pPr>
            <w:r w:rsidRPr="00E56D20">
              <w:rPr>
                <w:b/>
                <w:sz w:val="22"/>
                <w:szCs w:val="24"/>
              </w:rPr>
              <w:t>ALL ADVOCATES</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FROM:</w:t>
            </w:r>
          </w:p>
        </w:tc>
        <w:tc>
          <w:tcPr>
            <w:tcW w:w="6608" w:type="dxa"/>
          </w:tcPr>
          <w:p w:rsidR="00732C9C" w:rsidRPr="00E56D20" w:rsidRDefault="00675D06" w:rsidP="00732C9C">
            <w:pPr>
              <w:rPr>
                <w:b/>
                <w:sz w:val="22"/>
                <w:szCs w:val="24"/>
              </w:rPr>
            </w:pPr>
            <w:r w:rsidRPr="00E56D20">
              <w:rPr>
                <w:b/>
                <w:sz w:val="22"/>
                <w:szCs w:val="24"/>
              </w:rPr>
              <w:t>DAVID LONG</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OCB GRIEVANCE NUMBER:</w:t>
            </w:r>
          </w:p>
        </w:tc>
        <w:tc>
          <w:tcPr>
            <w:tcW w:w="6608" w:type="dxa"/>
          </w:tcPr>
          <w:p w:rsidR="00732C9C" w:rsidRPr="00E56D20" w:rsidRDefault="002A6C76" w:rsidP="00732C9C">
            <w:pPr>
              <w:rPr>
                <w:b/>
                <w:sz w:val="22"/>
                <w:szCs w:val="24"/>
              </w:rPr>
            </w:pPr>
            <w:r w:rsidRPr="00E56D20">
              <w:rPr>
                <w:b/>
                <w:sz w:val="22"/>
                <w:szCs w:val="24"/>
              </w:rPr>
              <w:t>34-21-20101103-0162-01-09</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DEPARTMENT:</w:t>
            </w:r>
          </w:p>
        </w:tc>
        <w:tc>
          <w:tcPr>
            <w:tcW w:w="6608" w:type="dxa"/>
          </w:tcPr>
          <w:p w:rsidR="00732C9C" w:rsidRPr="00E56D20" w:rsidRDefault="002A6C76" w:rsidP="00732C9C">
            <w:pPr>
              <w:ind w:left="432" w:hanging="432"/>
              <w:rPr>
                <w:sz w:val="22"/>
                <w:szCs w:val="24"/>
              </w:rPr>
            </w:pPr>
            <w:r w:rsidRPr="00E56D20">
              <w:rPr>
                <w:sz w:val="22"/>
                <w:szCs w:val="24"/>
              </w:rPr>
              <w:t>State of Ohio Bureau of Workers Compensation</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UNION:</w:t>
            </w:r>
          </w:p>
        </w:tc>
        <w:tc>
          <w:tcPr>
            <w:tcW w:w="6608" w:type="dxa"/>
          </w:tcPr>
          <w:p w:rsidR="00732C9C" w:rsidRPr="00E56D20" w:rsidRDefault="002A6C76" w:rsidP="00732C9C">
            <w:pPr>
              <w:ind w:left="432" w:hanging="432"/>
              <w:rPr>
                <w:sz w:val="22"/>
                <w:szCs w:val="24"/>
              </w:rPr>
            </w:pPr>
            <w:r w:rsidRPr="00E56D20">
              <w:rPr>
                <w:sz w:val="22"/>
                <w:szCs w:val="24"/>
              </w:rPr>
              <w:t>OCSEA Local 11</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ARBITRATOR:</w:t>
            </w:r>
          </w:p>
        </w:tc>
        <w:tc>
          <w:tcPr>
            <w:tcW w:w="6608" w:type="dxa"/>
          </w:tcPr>
          <w:p w:rsidR="00732C9C" w:rsidRPr="00E56D20" w:rsidRDefault="002A6C76" w:rsidP="00E2703B">
            <w:pPr>
              <w:ind w:left="432" w:hanging="432"/>
              <w:rPr>
                <w:sz w:val="22"/>
                <w:szCs w:val="24"/>
              </w:rPr>
            </w:pPr>
            <w:r w:rsidRPr="00E56D20">
              <w:rPr>
                <w:sz w:val="22"/>
                <w:szCs w:val="24"/>
              </w:rPr>
              <w:t xml:space="preserve">Susan </w:t>
            </w:r>
            <w:proofErr w:type="spellStart"/>
            <w:r w:rsidRPr="00E56D20">
              <w:rPr>
                <w:sz w:val="22"/>
                <w:szCs w:val="24"/>
              </w:rPr>
              <w:t>Grody</w:t>
            </w:r>
            <w:proofErr w:type="spellEnd"/>
            <w:r w:rsidRPr="00E56D20">
              <w:rPr>
                <w:sz w:val="22"/>
                <w:szCs w:val="24"/>
              </w:rPr>
              <w:t xml:space="preserve"> Ruben</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GRIEVANT NAME:</w:t>
            </w:r>
          </w:p>
        </w:tc>
        <w:tc>
          <w:tcPr>
            <w:tcW w:w="6608" w:type="dxa"/>
          </w:tcPr>
          <w:p w:rsidR="00732C9C" w:rsidRPr="00E56D20" w:rsidRDefault="002A6C76" w:rsidP="00732C9C">
            <w:pPr>
              <w:ind w:left="432" w:hanging="432"/>
              <w:rPr>
                <w:sz w:val="22"/>
                <w:szCs w:val="24"/>
              </w:rPr>
            </w:pPr>
            <w:r w:rsidRPr="00E56D20">
              <w:rPr>
                <w:sz w:val="22"/>
                <w:szCs w:val="24"/>
              </w:rPr>
              <w:t>Timothy McAllister</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MANAGEMENT ADVOCATE:</w:t>
            </w:r>
          </w:p>
        </w:tc>
        <w:tc>
          <w:tcPr>
            <w:tcW w:w="6608" w:type="dxa"/>
          </w:tcPr>
          <w:p w:rsidR="00732C9C" w:rsidRPr="00E56D20" w:rsidRDefault="002A6C76" w:rsidP="00732C9C">
            <w:pPr>
              <w:ind w:left="432" w:hanging="432"/>
              <w:rPr>
                <w:sz w:val="22"/>
                <w:szCs w:val="24"/>
              </w:rPr>
            </w:pPr>
            <w:r w:rsidRPr="00E56D20">
              <w:rPr>
                <w:sz w:val="22"/>
                <w:szCs w:val="24"/>
              </w:rPr>
              <w:t>Aimee Szc</w:t>
            </w:r>
            <w:r w:rsidR="00994504">
              <w:rPr>
                <w:sz w:val="22"/>
                <w:szCs w:val="24"/>
              </w:rPr>
              <w:t>z</w:t>
            </w:r>
            <w:r w:rsidRPr="00E56D20">
              <w:rPr>
                <w:sz w:val="22"/>
                <w:szCs w:val="24"/>
              </w:rPr>
              <w:t>erbacki</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UNION ADVOCATE:</w:t>
            </w:r>
          </w:p>
        </w:tc>
        <w:tc>
          <w:tcPr>
            <w:tcW w:w="6608" w:type="dxa"/>
          </w:tcPr>
          <w:p w:rsidR="00E56D20" w:rsidRPr="00E56D20" w:rsidRDefault="00E56D20" w:rsidP="00732C9C">
            <w:pPr>
              <w:ind w:left="432" w:hanging="432"/>
              <w:rPr>
                <w:sz w:val="22"/>
                <w:szCs w:val="24"/>
              </w:rPr>
            </w:pPr>
            <w:r w:rsidRPr="00E56D20">
              <w:rPr>
                <w:sz w:val="22"/>
                <w:szCs w:val="24"/>
              </w:rPr>
              <w:t>Jennie Lewis</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ARBITRATION DATE:</w:t>
            </w:r>
          </w:p>
        </w:tc>
        <w:tc>
          <w:tcPr>
            <w:tcW w:w="6608" w:type="dxa"/>
          </w:tcPr>
          <w:p w:rsidR="00E56D20" w:rsidRPr="00E56D20" w:rsidRDefault="00E56D20" w:rsidP="00732C9C">
            <w:pPr>
              <w:ind w:left="432" w:hanging="432"/>
              <w:rPr>
                <w:sz w:val="22"/>
                <w:szCs w:val="24"/>
              </w:rPr>
            </w:pPr>
            <w:r w:rsidRPr="00E56D20">
              <w:rPr>
                <w:sz w:val="22"/>
                <w:szCs w:val="24"/>
              </w:rPr>
              <w:t>June 29, 2012</w:t>
            </w:r>
          </w:p>
        </w:tc>
      </w:tr>
      <w:tr w:rsidR="00E56D20" w:rsidRPr="00E56D20" w:rsidTr="00E56D20">
        <w:trPr>
          <w:trHeight w:val="77"/>
        </w:trPr>
        <w:tc>
          <w:tcPr>
            <w:tcW w:w="3730" w:type="dxa"/>
          </w:tcPr>
          <w:p w:rsidR="00E56D20" w:rsidRPr="00E56D20" w:rsidRDefault="00E56D20" w:rsidP="00732C9C">
            <w:pPr>
              <w:rPr>
                <w:b/>
                <w:sz w:val="22"/>
                <w:szCs w:val="24"/>
              </w:rPr>
            </w:pPr>
            <w:r w:rsidRPr="00E56D20">
              <w:rPr>
                <w:b/>
                <w:sz w:val="22"/>
                <w:szCs w:val="24"/>
              </w:rPr>
              <w:t>DECISION DATE:</w:t>
            </w:r>
          </w:p>
        </w:tc>
        <w:tc>
          <w:tcPr>
            <w:tcW w:w="6608" w:type="dxa"/>
          </w:tcPr>
          <w:p w:rsidR="00E56D20" w:rsidRPr="00E56D20" w:rsidRDefault="00E56D20" w:rsidP="002A6C76">
            <w:pPr>
              <w:ind w:left="432" w:hanging="432"/>
              <w:rPr>
                <w:sz w:val="22"/>
                <w:szCs w:val="24"/>
              </w:rPr>
            </w:pPr>
            <w:r w:rsidRPr="00E56D20">
              <w:rPr>
                <w:sz w:val="22"/>
                <w:szCs w:val="24"/>
              </w:rPr>
              <w:t>August 9, 2012</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DECISION:</w:t>
            </w:r>
          </w:p>
        </w:tc>
        <w:tc>
          <w:tcPr>
            <w:tcW w:w="6608" w:type="dxa"/>
          </w:tcPr>
          <w:p w:rsidR="00E56D20" w:rsidRPr="00E56D20" w:rsidRDefault="00E56D20" w:rsidP="002A6C76">
            <w:pPr>
              <w:ind w:left="432" w:hanging="432"/>
              <w:rPr>
                <w:sz w:val="22"/>
                <w:szCs w:val="24"/>
              </w:rPr>
            </w:pPr>
            <w:r w:rsidRPr="00E56D20">
              <w:rPr>
                <w:sz w:val="22"/>
                <w:szCs w:val="24"/>
              </w:rPr>
              <w:t>GRANTED</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CONTRACT SECTIONS:</w:t>
            </w:r>
          </w:p>
        </w:tc>
        <w:tc>
          <w:tcPr>
            <w:tcW w:w="6608" w:type="dxa"/>
          </w:tcPr>
          <w:p w:rsidR="00E56D20" w:rsidRPr="00E56D20" w:rsidRDefault="00E56D20" w:rsidP="00732C9C">
            <w:pPr>
              <w:ind w:left="432" w:hanging="432"/>
              <w:rPr>
                <w:sz w:val="22"/>
                <w:szCs w:val="24"/>
              </w:rPr>
            </w:pPr>
            <w:r w:rsidRPr="00E56D20">
              <w:rPr>
                <w:sz w:val="22"/>
                <w:szCs w:val="24"/>
              </w:rPr>
              <w:t>Article 28.01 – Vacations – Rate of Accrual; Article 29.05 – Sick Leave – Carry-over and Conversion; Article 2 – Non-discrimination</w:t>
            </w:r>
          </w:p>
        </w:tc>
      </w:tr>
      <w:tr w:rsidR="00E56D20" w:rsidRPr="00E56D20" w:rsidTr="00E56D20">
        <w:trPr>
          <w:trHeight w:val="453"/>
        </w:trPr>
        <w:tc>
          <w:tcPr>
            <w:tcW w:w="3730" w:type="dxa"/>
          </w:tcPr>
          <w:p w:rsidR="00E56D20" w:rsidRPr="00E56D20" w:rsidRDefault="00E56D20" w:rsidP="00732C9C">
            <w:pPr>
              <w:rPr>
                <w:b/>
                <w:sz w:val="22"/>
                <w:szCs w:val="24"/>
              </w:rPr>
            </w:pPr>
            <w:r w:rsidRPr="00E56D20">
              <w:rPr>
                <w:b/>
                <w:sz w:val="22"/>
                <w:szCs w:val="24"/>
              </w:rPr>
              <w:t>OCB RESEARCH CODES:</w:t>
            </w:r>
          </w:p>
        </w:tc>
        <w:tc>
          <w:tcPr>
            <w:tcW w:w="6608" w:type="dxa"/>
          </w:tcPr>
          <w:p w:rsidR="00E56D20" w:rsidRPr="00E56D20" w:rsidRDefault="00E56D20" w:rsidP="002A6C76">
            <w:pPr>
              <w:ind w:left="432" w:hanging="432"/>
              <w:rPr>
                <w:sz w:val="22"/>
                <w:szCs w:val="24"/>
              </w:rPr>
            </w:pPr>
            <w:r w:rsidRPr="00E56D20">
              <w:rPr>
                <w:sz w:val="22"/>
                <w:szCs w:val="24"/>
              </w:rPr>
              <w:t>116.151 – Vacation; 120.01 – Transfer</w:t>
            </w:r>
            <w:r>
              <w:rPr>
                <w:sz w:val="22"/>
                <w:szCs w:val="24"/>
              </w:rPr>
              <w:t>; 116.25 – Sick Leave</w:t>
            </w:r>
          </w:p>
        </w:tc>
      </w:tr>
    </w:tbl>
    <w:p w:rsidR="00A43890" w:rsidRPr="00E56D20" w:rsidRDefault="00994504" w:rsidP="00523DDC">
      <w:pPr>
        <w:jc w:val="both"/>
        <w:rPr>
          <w:b/>
          <w:sz w:val="21"/>
          <w:szCs w:val="23"/>
        </w:rPr>
      </w:pPr>
      <w:r>
        <w:rPr>
          <w:b/>
          <w:sz w:val="21"/>
          <w:szCs w:val="23"/>
        </w:rPr>
        <w:t xml:space="preserve">HOLDING: </w:t>
      </w:r>
      <w:r w:rsidR="00641968" w:rsidRPr="00E56D20">
        <w:rPr>
          <w:b/>
          <w:sz w:val="21"/>
          <w:szCs w:val="23"/>
        </w:rPr>
        <w:t xml:space="preserve">Grievance </w:t>
      </w:r>
      <w:r w:rsidR="00BB3A5A" w:rsidRPr="00E56D20">
        <w:rPr>
          <w:b/>
          <w:sz w:val="21"/>
          <w:szCs w:val="23"/>
        </w:rPr>
        <w:t>granted</w:t>
      </w:r>
      <w:r w:rsidR="00523DDC" w:rsidRPr="00E56D20">
        <w:rPr>
          <w:b/>
          <w:sz w:val="21"/>
          <w:szCs w:val="23"/>
        </w:rPr>
        <w:t>.</w:t>
      </w:r>
      <w:r>
        <w:rPr>
          <w:b/>
          <w:sz w:val="21"/>
          <w:szCs w:val="23"/>
        </w:rPr>
        <w:t xml:space="preserve"> </w:t>
      </w:r>
      <w:r w:rsidR="00523DDC" w:rsidRPr="00E56D20">
        <w:rPr>
          <w:b/>
          <w:sz w:val="21"/>
          <w:szCs w:val="23"/>
        </w:rPr>
        <w:t>The Arbitrator found that</w:t>
      </w:r>
      <w:r w:rsidR="00A43890" w:rsidRPr="00E56D20">
        <w:rPr>
          <w:b/>
          <w:sz w:val="21"/>
          <w:szCs w:val="23"/>
        </w:rPr>
        <w:t xml:space="preserve"> under </w:t>
      </w:r>
      <w:r w:rsidR="00183753" w:rsidRPr="00E56D20">
        <w:rPr>
          <w:b/>
          <w:sz w:val="21"/>
          <w:szCs w:val="23"/>
        </w:rPr>
        <w:t>the Collective Bargaining Agreement</w:t>
      </w:r>
      <w:r w:rsidR="00801C62" w:rsidRPr="00E56D20">
        <w:rPr>
          <w:b/>
          <w:sz w:val="21"/>
          <w:szCs w:val="23"/>
        </w:rPr>
        <w:t xml:space="preserve"> (</w:t>
      </w:r>
      <w:r>
        <w:rPr>
          <w:b/>
          <w:sz w:val="21"/>
          <w:szCs w:val="23"/>
        </w:rPr>
        <w:t xml:space="preserve">the </w:t>
      </w:r>
      <w:r w:rsidR="00801C62" w:rsidRPr="00E56D20">
        <w:rPr>
          <w:b/>
          <w:sz w:val="21"/>
          <w:szCs w:val="23"/>
        </w:rPr>
        <w:t>“CBA”)</w:t>
      </w:r>
      <w:r w:rsidR="00183753" w:rsidRPr="00E56D20">
        <w:rPr>
          <w:b/>
          <w:sz w:val="21"/>
          <w:szCs w:val="23"/>
        </w:rPr>
        <w:t>, time</w:t>
      </w:r>
      <w:r w:rsidR="00801C62" w:rsidRPr="00E56D20">
        <w:rPr>
          <w:b/>
          <w:sz w:val="21"/>
          <w:szCs w:val="23"/>
        </w:rPr>
        <w:t xml:space="preserve"> worked at an Ohio r</w:t>
      </w:r>
      <w:r w:rsidR="00183753" w:rsidRPr="00E56D20">
        <w:rPr>
          <w:b/>
          <w:sz w:val="21"/>
          <w:szCs w:val="23"/>
        </w:rPr>
        <w:t xml:space="preserve">etirement </w:t>
      </w:r>
      <w:r w:rsidR="00801C62" w:rsidRPr="00E56D20">
        <w:rPr>
          <w:b/>
          <w:sz w:val="21"/>
          <w:szCs w:val="23"/>
        </w:rPr>
        <w:t>s</w:t>
      </w:r>
      <w:r w:rsidR="00183753" w:rsidRPr="00E56D20">
        <w:rPr>
          <w:b/>
          <w:sz w:val="21"/>
          <w:szCs w:val="23"/>
        </w:rPr>
        <w:t xml:space="preserve">ystem </w:t>
      </w:r>
      <w:r w:rsidR="008D2534" w:rsidRPr="00E56D20">
        <w:rPr>
          <w:b/>
          <w:sz w:val="21"/>
          <w:szCs w:val="23"/>
        </w:rPr>
        <w:t xml:space="preserve">qualified </w:t>
      </w:r>
      <w:r w:rsidR="00E56D20">
        <w:rPr>
          <w:b/>
          <w:sz w:val="21"/>
          <w:szCs w:val="23"/>
        </w:rPr>
        <w:t>as</w:t>
      </w:r>
      <w:r w:rsidR="008D2534" w:rsidRPr="00E56D20">
        <w:rPr>
          <w:b/>
          <w:sz w:val="21"/>
          <w:szCs w:val="23"/>
        </w:rPr>
        <w:t xml:space="preserve"> </w:t>
      </w:r>
      <w:r w:rsidR="007F1356">
        <w:rPr>
          <w:b/>
          <w:sz w:val="21"/>
          <w:szCs w:val="23"/>
        </w:rPr>
        <w:t xml:space="preserve">state </w:t>
      </w:r>
      <w:r w:rsidR="008D2534" w:rsidRPr="00E56D20">
        <w:rPr>
          <w:b/>
          <w:sz w:val="21"/>
          <w:szCs w:val="23"/>
        </w:rPr>
        <w:t xml:space="preserve">service </w:t>
      </w:r>
      <w:r w:rsidR="00E56D20">
        <w:rPr>
          <w:b/>
          <w:sz w:val="21"/>
          <w:szCs w:val="23"/>
        </w:rPr>
        <w:t xml:space="preserve">for purposes of </w:t>
      </w:r>
      <w:r w:rsidR="008D2534" w:rsidRPr="00E56D20">
        <w:rPr>
          <w:b/>
          <w:sz w:val="21"/>
          <w:szCs w:val="23"/>
        </w:rPr>
        <w:t xml:space="preserve">vacation time accrual. The Arbitrator relied heavily on R.C. 124.38 which allows employees transferring state agencies to transfer </w:t>
      </w:r>
      <w:r>
        <w:rPr>
          <w:b/>
          <w:sz w:val="21"/>
          <w:szCs w:val="23"/>
        </w:rPr>
        <w:t xml:space="preserve">their </w:t>
      </w:r>
      <w:r w:rsidR="008D2534" w:rsidRPr="00E56D20">
        <w:rPr>
          <w:b/>
          <w:sz w:val="21"/>
          <w:szCs w:val="23"/>
        </w:rPr>
        <w:t xml:space="preserve">sick leave. </w:t>
      </w:r>
      <w:r w:rsidR="00E463F7" w:rsidRPr="00E56D20">
        <w:rPr>
          <w:b/>
          <w:sz w:val="21"/>
          <w:szCs w:val="23"/>
        </w:rPr>
        <w:t>Further, because the CBA does not define state agency or political subdivision of the state, the Arbitrat</w:t>
      </w:r>
      <w:r w:rsidR="00801C62" w:rsidRPr="00E56D20">
        <w:rPr>
          <w:b/>
          <w:sz w:val="21"/>
          <w:szCs w:val="23"/>
        </w:rPr>
        <w:t>or</w:t>
      </w:r>
      <w:r w:rsidR="00E463F7" w:rsidRPr="00E56D20">
        <w:rPr>
          <w:b/>
          <w:sz w:val="21"/>
          <w:szCs w:val="23"/>
        </w:rPr>
        <w:t xml:space="preserve"> </w:t>
      </w:r>
      <w:r w:rsidR="007F1356">
        <w:rPr>
          <w:b/>
          <w:sz w:val="21"/>
          <w:szCs w:val="23"/>
        </w:rPr>
        <w:t>relied on</w:t>
      </w:r>
      <w:r w:rsidR="00E56D20">
        <w:rPr>
          <w:b/>
          <w:sz w:val="21"/>
          <w:szCs w:val="23"/>
        </w:rPr>
        <w:t xml:space="preserve"> the</w:t>
      </w:r>
      <w:r w:rsidR="00E463F7" w:rsidRPr="00E56D20">
        <w:rPr>
          <w:b/>
          <w:sz w:val="21"/>
          <w:szCs w:val="23"/>
        </w:rPr>
        <w:t xml:space="preserve"> “whole document” </w:t>
      </w:r>
      <w:r w:rsidR="00801C62" w:rsidRPr="00E56D20">
        <w:rPr>
          <w:b/>
          <w:sz w:val="21"/>
          <w:szCs w:val="23"/>
        </w:rPr>
        <w:t>rule—since sick leave accrual f</w:t>
      </w:r>
      <w:r w:rsidR="007F1356">
        <w:rPr>
          <w:b/>
          <w:sz w:val="21"/>
          <w:szCs w:val="23"/>
        </w:rPr>
        <w:t>or</w:t>
      </w:r>
      <w:r w:rsidR="00801C62" w:rsidRPr="00E56D20">
        <w:rPr>
          <w:b/>
          <w:sz w:val="21"/>
          <w:szCs w:val="23"/>
        </w:rPr>
        <w:t xml:space="preserve"> time worked at the state retirement systems could be credited, vacation time accrued</w:t>
      </w:r>
      <w:r w:rsidR="00E56D20">
        <w:rPr>
          <w:b/>
          <w:sz w:val="21"/>
          <w:szCs w:val="23"/>
        </w:rPr>
        <w:t xml:space="preserve"> must as well</w:t>
      </w:r>
      <w:r w:rsidR="00801C62" w:rsidRPr="00E56D20">
        <w:rPr>
          <w:b/>
          <w:sz w:val="21"/>
          <w:szCs w:val="23"/>
        </w:rPr>
        <w:t>.</w:t>
      </w:r>
    </w:p>
    <w:p w:rsidR="0088175D" w:rsidRPr="00E56D20" w:rsidRDefault="0088175D" w:rsidP="00523DDC">
      <w:pPr>
        <w:jc w:val="both"/>
        <w:rPr>
          <w:b/>
          <w:sz w:val="21"/>
          <w:szCs w:val="23"/>
        </w:rPr>
      </w:pPr>
    </w:p>
    <w:p w:rsidR="00A504F1" w:rsidRPr="00E56D20" w:rsidRDefault="00801C62" w:rsidP="002F1FF0">
      <w:pPr>
        <w:jc w:val="both"/>
        <w:rPr>
          <w:sz w:val="21"/>
          <w:szCs w:val="23"/>
        </w:rPr>
      </w:pPr>
      <w:r w:rsidRPr="00E56D20">
        <w:rPr>
          <w:sz w:val="21"/>
          <w:szCs w:val="23"/>
        </w:rPr>
        <w:t xml:space="preserve">The grievants were a class of three employees who worked with </w:t>
      </w:r>
      <w:r w:rsidR="007B1AA5" w:rsidRPr="00E56D20">
        <w:rPr>
          <w:sz w:val="21"/>
          <w:szCs w:val="23"/>
        </w:rPr>
        <w:t xml:space="preserve">the Ohio Highway Retirement System </w:t>
      </w:r>
      <w:r w:rsidR="00331F7D" w:rsidRPr="00E56D20">
        <w:rPr>
          <w:sz w:val="21"/>
          <w:szCs w:val="23"/>
        </w:rPr>
        <w:t xml:space="preserve">(“OHRS”) </w:t>
      </w:r>
      <w:r w:rsidRPr="00E56D20">
        <w:rPr>
          <w:sz w:val="21"/>
          <w:szCs w:val="23"/>
        </w:rPr>
        <w:t xml:space="preserve">and later transferred to the Bureau of Workers Compensation. </w:t>
      </w:r>
      <w:r w:rsidR="002F1FF0" w:rsidRPr="00E56D20">
        <w:rPr>
          <w:sz w:val="21"/>
          <w:szCs w:val="23"/>
        </w:rPr>
        <w:t xml:space="preserve">Although the employees were allowed to transfer unused sick leave accruals from their employment with </w:t>
      </w:r>
      <w:r w:rsidR="007F1356">
        <w:rPr>
          <w:sz w:val="21"/>
          <w:szCs w:val="23"/>
        </w:rPr>
        <w:t>OHRS</w:t>
      </w:r>
      <w:r w:rsidR="002F1FF0" w:rsidRPr="00E56D20">
        <w:rPr>
          <w:sz w:val="21"/>
          <w:szCs w:val="23"/>
        </w:rPr>
        <w:t>, they were denied credit for working at that retirement system for purposes of vacation accrual.</w:t>
      </w:r>
    </w:p>
    <w:p w:rsidR="00F24A7E" w:rsidRPr="00E56D20" w:rsidRDefault="00F24A7E" w:rsidP="00523DDC">
      <w:pPr>
        <w:jc w:val="both"/>
        <w:rPr>
          <w:sz w:val="21"/>
          <w:szCs w:val="23"/>
        </w:rPr>
      </w:pPr>
    </w:p>
    <w:p w:rsidR="009D04C6" w:rsidRPr="00E56D20" w:rsidRDefault="00F24A7E" w:rsidP="00430400">
      <w:pPr>
        <w:jc w:val="both"/>
        <w:rPr>
          <w:sz w:val="21"/>
          <w:szCs w:val="23"/>
        </w:rPr>
      </w:pPr>
      <w:r w:rsidRPr="00E56D20">
        <w:rPr>
          <w:sz w:val="21"/>
          <w:szCs w:val="23"/>
        </w:rPr>
        <w:t xml:space="preserve">Management argues that </w:t>
      </w:r>
      <w:r w:rsidR="00430400" w:rsidRPr="00E56D20">
        <w:rPr>
          <w:sz w:val="21"/>
          <w:szCs w:val="23"/>
        </w:rPr>
        <w:t>the public retirement systems are not considered “the state” under R.C. 9.44</w:t>
      </w:r>
      <w:r w:rsidR="007F1356">
        <w:rPr>
          <w:sz w:val="21"/>
          <w:szCs w:val="23"/>
        </w:rPr>
        <w:t>. F</w:t>
      </w:r>
      <w:r w:rsidR="00430400" w:rsidRPr="00E56D20">
        <w:rPr>
          <w:sz w:val="21"/>
          <w:szCs w:val="23"/>
        </w:rPr>
        <w:t xml:space="preserve">urthermore, the structure of the retirement systems illustrates that they should not be considered a state agency as they do not act on behalf of the state or carryout a state governmental function. They cited an Ohio appellate case discussing how although a retirement system could be considered a </w:t>
      </w:r>
      <w:r w:rsidR="00430400" w:rsidRPr="0094108B">
        <w:rPr>
          <w:i/>
          <w:sz w:val="21"/>
          <w:szCs w:val="23"/>
        </w:rPr>
        <w:t>public</w:t>
      </w:r>
      <w:r w:rsidR="00430400" w:rsidRPr="00E56D20">
        <w:rPr>
          <w:sz w:val="21"/>
          <w:szCs w:val="23"/>
        </w:rPr>
        <w:t xml:space="preserve"> agency or instrumentality it </w:t>
      </w:r>
      <w:r w:rsidR="007F1356">
        <w:rPr>
          <w:sz w:val="21"/>
          <w:szCs w:val="23"/>
        </w:rPr>
        <w:t>did</w:t>
      </w:r>
      <w:r w:rsidR="00430400" w:rsidRPr="00E56D20">
        <w:rPr>
          <w:sz w:val="21"/>
          <w:szCs w:val="23"/>
        </w:rPr>
        <w:t xml:space="preserve"> not </w:t>
      </w:r>
      <w:r w:rsidR="007F1356">
        <w:rPr>
          <w:sz w:val="21"/>
          <w:szCs w:val="23"/>
        </w:rPr>
        <w:t xml:space="preserve">provide a </w:t>
      </w:r>
      <w:r w:rsidR="00430400" w:rsidRPr="0094108B">
        <w:rPr>
          <w:i/>
          <w:sz w:val="21"/>
          <w:szCs w:val="23"/>
        </w:rPr>
        <w:t>state</w:t>
      </w:r>
      <w:r w:rsidR="00430400" w:rsidRPr="00E56D20">
        <w:rPr>
          <w:sz w:val="21"/>
          <w:szCs w:val="23"/>
        </w:rPr>
        <w:t xml:space="preserve"> </w:t>
      </w:r>
      <w:r w:rsidR="0094108B">
        <w:rPr>
          <w:sz w:val="21"/>
          <w:szCs w:val="23"/>
        </w:rPr>
        <w:t xml:space="preserve">service </w:t>
      </w:r>
      <w:r w:rsidR="007F1356">
        <w:rPr>
          <w:sz w:val="21"/>
          <w:szCs w:val="23"/>
        </w:rPr>
        <w:t>or</w:t>
      </w:r>
      <w:r w:rsidR="00430400" w:rsidRPr="00E56D20">
        <w:rPr>
          <w:sz w:val="21"/>
          <w:szCs w:val="23"/>
        </w:rPr>
        <w:t xml:space="preserve"> exercise any governmental function. </w:t>
      </w:r>
    </w:p>
    <w:p w:rsidR="00430400" w:rsidRPr="00E56D20" w:rsidRDefault="00430400" w:rsidP="00430400">
      <w:pPr>
        <w:jc w:val="both"/>
        <w:rPr>
          <w:sz w:val="21"/>
          <w:szCs w:val="23"/>
        </w:rPr>
      </w:pPr>
    </w:p>
    <w:p w:rsidR="00430400" w:rsidRPr="00E56D20" w:rsidRDefault="00432A30" w:rsidP="00430400">
      <w:pPr>
        <w:jc w:val="both"/>
        <w:rPr>
          <w:sz w:val="21"/>
          <w:szCs w:val="23"/>
        </w:rPr>
      </w:pPr>
      <w:r w:rsidRPr="00E56D20">
        <w:rPr>
          <w:sz w:val="21"/>
          <w:szCs w:val="23"/>
        </w:rPr>
        <w:t>Management did not consider the fact OHRS employees can pay into the retirement system dispositive</w:t>
      </w:r>
      <w:r w:rsidR="0094108B">
        <w:rPr>
          <w:sz w:val="21"/>
          <w:szCs w:val="23"/>
        </w:rPr>
        <w:t xml:space="preserve">; they </w:t>
      </w:r>
      <w:r w:rsidRPr="00E56D20">
        <w:rPr>
          <w:sz w:val="21"/>
          <w:szCs w:val="23"/>
        </w:rPr>
        <w:t xml:space="preserve">can pay into the system because they are public employees, not because they are in the service of the state. </w:t>
      </w:r>
      <w:r w:rsidR="00811163" w:rsidRPr="00E56D20">
        <w:rPr>
          <w:sz w:val="21"/>
          <w:szCs w:val="23"/>
        </w:rPr>
        <w:t>Nor did it consider OHRS a “political subdivision of the state</w:t>
      </w:r>
      <w:r w:rsidR="0094108B">
        <w:rPr>
          <w:sz w:val="21"/>
          <w:szCs w:val="23"/>
        </w:rPr>
        <w:t>;</w:t>
      </w:r>
      <w:r w:rsidR="00811163" w:rsidRPr="00E56D20">
        <w:rPr>
          <w:sz w:val="21"/>
          <w:szCs w:val="23"/>
        </w:rPr>
        <w:t xml:space="preserve">” </w:t>
      </w:r>
      <w:r w:rsidR="0094108B">
        <w:rPr>
          <w:sz w:val="21"/>
          <w:szCs w:val="23"/>
        </w:rPr>
        <w:t xml:space="preserve">although </w:t>
      </w:r>
      <w:r w:rsidR="00811163" w:rsidRPr="00E56D20">
        <w:rPr>
          <w:sz w:val="21"/>
          <w:szCs w:val="23"/>
        </w:rPr>
        <w:t>the term is not defined in the CBA or R.C. 9.44</w:t>
      </w:r>
      <w:r w:rsidR="0094108B">
        <w:rPr>
          <w:sz w:val="21"/>
          <w:szCs w:val="23"/>
        </w:rPr>
        <w:t>,</w:t>
      </w:r>
      <w:r w:rsidR="00811163" w:rsidRPr="00E56D20">
        <w:rPr>
          <w:sz w:val="21"/>
          <w:szCs w:val="23"/>
        </w:rPr>
        <w:t xml:space="preserve"> OHRS does not exercise a governmental function in a limited geographical area. Moreover, had Congress wanted these employees to be able to transfer sick leave accrual and vacation accrual, it would have</w:t>
      </w:r>
      <w:r w:rsidR="0094108B">
        <w:rPr>
          <w:sz w:val="21"/>
          <w:szCs w:val="23"/>
        </w:rPr>
        <w:t xml:space="preserve"> clearly</w:t>
      </w:r>
      <w:r w:rsidR="00811163" w:rsidRPr="00E56D20">
        <w:rPr>
          <w:sz w:val="21"/>
          <w:szCs w:val="23"/>
        </w:rPr>
        <w:t xml:space="preserve"> stated </w:t>
      </w:r>
      <w:r w:rsidR="00994504">
        <w:rPr>
          <w:sz w:val="21"/>
          <w:szCs w:val="23"/>
        </w:rPr>
        <w:t>this</w:t>
      </w:r>
      <w:r w:rsidR="00811163" w:rsidRPr="00E56D20">
        <w:rPr>
          <w:sz w:val="21"/>
          <w:szCs w:val="23"/>
        </w:rPr>
        <w:t xml:space="preserve"> intent.</w:t>
      </w:r>
    </w:p>
    <w:p w:rsidR="009D04C6" w:rsidRPr="00E56D20" w:rsidRDefault="009D04C6" w:rsidP="00523DDC">
      <w:pPr>
        <w:jc w:val="both"/>
        <w:rPr>
          <w:sz w:val="21"/>
          <w:szCs w:val="23"/>
        </w:rPr>
      </w:pPr>
    </w:p>
    <w:p w:rsidR="00B55B7C" w:rsidRPr="00E56D20" w:rsidRDefault="009D04C6" w:rsidP="009D04C6">
      <w:pPr>
        <w:jc w:val="both"/>
        <w:rPr>
          <w:sz w:val="21"/>
          <w:szCs w:val="23"/>
        </w:rPr>
      </w:pPr>
      <w:r w:rsidRPr="00E56D20">
        <w:rPr>
          <w:sz w:val="21"/>
          <w:szCs w:val="23"/>
        </w:rPr>
        <w:t xml:space="preserve">The Union </w:t>
      </w:r>
      <w:r w:rsidR="002F1FF0" w:rsidRPr="00E56D20">
        <w:rPr>
          <w:sz w:val="21"/>
          <w:szCs w:val="23"/>
        </w:rPr>
        <w:t xml:space="preserve">asserts that </w:t>
      </w:r>
      <w:r w:rsidR="00EE788A" w:rsidRPr="00E56D20">
        <w:rPr>
          <w:sz w:val="21"/>
          <w:szCs w:val="23"/>
        </w:rPr>
        <w:t>because the retirement systems</w:t>
      </w:r>
      <w:r w:rsidR="0094108B">
        <w:rPr>
          <w:sz w:val="21"/>
          <w:szCs w:val="23"/>
        </w:rPr>
        <w:t xml:space="preserve"> were established by statute </w:t>
      </w:r>
      <w:r w:rsidR="007F1356">
        <w:rPr>
          <w:sz w:val="21"/>
          <w:szCs w:val="23"/>
        </w:rPr>
        <w:t>t</w:t>
      </w:r>
      <w:r w:rsidR="00EE788A" w:rsidRPr="00E56D20">
        <w:rPr>
          <w:sz w:val="21"/>
          <w:szCs w:val="23"/>
        </w:rPr>
        <w:t xml:space="preserve">hey should be considered state agencies for purposes of credit accrual. </w:t>
      </w:r>
      <w:r w:rsidR="007B1AA5" w:rsidRPr="00E56D20">
        <w:rPr>
          <w:sz w:val="21"/>
          <w:szCs w:val="23"/>
        </w:rPr>
        <w:t xml:space="preserve">Citing a 1993 Ohio Attorney General advisory opinion </w:t>
      </w:r>
      <w:r w:rsidR="0094108B">
        <w:rPr>
          <w:sz w:val="21"/>
          <w:szCs w:val="23"/>
        </w:rPr>
        <w:t>where</w:t>
      </w:r>
      <w:r w:rsidR="007B1AA5" w:rsidRPr="00E56D20">
        <w:rPr>
          <w:sz w:val="21"/>
          <w:szCs w:val="23"/>
        </w:rPr>
        <w:t xml:space="preserve"> </w:t>
      </w:r>
      <w:r w:rsidR="00331F7D" w:rsidRPr="00E56D20">
        <w:rPr>
          <w:sz w:val="21"/>
          <w:szCs w:val="23"/>
        </w:rPr>
        <w:t>OHRS</w:t>
      </w:r>
      <w:r w:rsidR="007B1AA5" w:rsidRPr="00E56D20">
        <w:rPr>
          <w:sz w:val="21"/>
          <w:szCs w:val="23"/>
        </w:rPr>
        <w:t xml:space="preserve"> was </w:t>
      </w:r>
      <w:r w:rsidR="0094108B">
        <w:rPr>
          <w:sz w:val="21"/>
          <w:szCs w:val="23"/>
        </w:rPr>
        <w:t xml:space="preserve">considered </w:t>
      </w:r>
      <w:r w:rsidR="007B1AA5" w:rsidRPr="00E56D20">
        <w:rPr>
          <w:sz w:val="21"/>
          <w:szCs w:val="23"/>
        </w:rPr>
        <w:t xml:space="preserve">an agency for purposes of the ADEA, </w:t>
      </w:r>
      <w:r w:rsidR="00994504">
        <w:rPr>
          <w:sz w:val="21"/>
          <w:szCs w:val="23"/>
        </w:rPr>
        <w:t>they reason</w:t>
      </w:r>
      <w:bookmarkStart w:id="0" w:name="_GoBack"/>
      <w:bookmarkEnd w:id="0"/>
      <w:r w:rsidR="00331F7D" w:rsidRPr="00E56D20">
        <w:rPr>
          <w:sz w:val="21"/>
          <w:szCs w:val="23"/>
        </w:rPr>
        <w:t xml:space="preserve"> it </w:t>
      </w:r>
      <w:r w:rsidR="002A492B" w:rsidRPr="00E56D20">
        <w:rPr>
          <w:sz w:val="21"/>
          <w:szCs w:val="23"/>
        </w:rPr>
        <w:t xml:space="preserve">should also qualify as a </w:t>
      </w:r>
      <w:r w:rsidR="00331F7D" w:rsidRPr="00E56D20">
        <w:rPr>
          <w:sz w:val="21"/>
          <w:szCs w:val="23"/>
        </w:rPr>
        <w:t>political subdivision</w:t>
      </w:r>
      <w:r w:rsidR="007B1AA5" w:rsidRPr="00E56D20">
        <w:rPr>
          <w:sz w:val="21"/>
          <w:szCs w:val="23"/>
        </w:rPr>
        <w:t xml:space="preserve">. </w:t>
      </w:r>
      <w:r w:rsidR="002A492B" w:rsidRPr="00E56D20">
        <w:rPr>
          <w:sz w:val="21"/>
          <w:szCs w:val="23"/>
        </w:rPr>
        <w:t>While recognizing that there are times when an entity can be considered a political subdivision for some purposes but not others, they contend that because grievants were allowed to transfer sick leave for time worked in OHRS they should also be allowed to credit vacation accrual.</w:t>
      </w:r>
      <w:r w:rsidR="00994504">
        <w:rPr>
          <w:sz w:val="21"/>
          <w:szCs w:val="23"/>
        </w:rPr>
        <w:t xml:space="preserve"> </w:t>
      </w:r>
      <w:r w:rsidR="007B1AA5" w:rsidRPr="00E56D20">
        <w:rPr>
          <w:sz w:val="21"/>
          <w:szCs w:val="23"/>
        </w:rPr>
        <w:t xml:space="preserve"> </w:t>
      </w:r>
    </w:p>
    <w:p w:rsidR="00B55B7C" w:rsidRPr="00E56D20" w:rsidRDefault="00B55B7C" w:rsidP="009D04C6">
      <w:pPr>
        <w:jc w:val="both"/>
        <w:rPr>
          <w:sz w:val="21"/>
          <w:szCs w:val="23"/>
        </w:rPr>
      </w:pPr>
    </w:p>
    <w:p w:rsidR="009D04C6" w:rsidRPr="00E56D20" w:rsidRDefault="00B55B7C" w:rsidP="009D04C6">
      <w:pPr>
        <w:jc w:val="both"/>
        <w:rPr>
          <w:sz w:val="21"/>
          <w:szCs w:val="23"/>
        </w:rPr>
      </w:pPr>
      <w:r w:rsidRPr="00E56D20">
        <w:rPr>
          <w:sz w:val="21"/>
          <w:szCs w:val="23"/>
        </w:rPr>
        <w:t xml:space="preserve">The Arbitrator found that </w:t>
      </w:r>
      <w:r w:rsidR="00811163" w:rsidRPr="00E56D20">
        <w:rPr>
          <w:sz w:val="21"/>
          <w:szCs w:val="23"/>
        </w:rPr>
        <w:t xml:space="preserve">under the undisputed facts, time worked for OHRS is considered state service for purposes of Article 28.01 of the CBA. The Arbitrator </w:t>
      </w:r>
      <w:r w:rsidR="00F1566A" w:rsidRPr="00E56D20">
        <w:rPr>
          <w:sz w:val="21"/>
          <w:szCs w:val="23"/>
        </w:rPr>
        <w:t xml:space="preserve">relied on the “whole document” approach to contract interpretation and </w:t>
      </w:r>
      <w:r w:rsidR="00811163" w:rsidRPr="00E56D20">
        <w:rPr>
          <w:sz w:val="21"/>
          <w:szCs w:val="23"/>
        </w:rPr>
        <w:t xml:space="preserve">held that the CBA intended </w:t>
      </w:r>
      <w:r w:rsidR="00F1566A" w:rsidRPr="00E56D20">
        <w:rPr>
          <w:sz w:val="21"/>
          <w:szCs w:val="23"/>
        </w:rPr>
        <w:t>to allow credit towards vacation accrual because it allowed sick leave credit. Finding that management failed to provide evidence that the Union and Management had intended a different result in the CBA, Articles 28 (vacation) and 29 (sick leave) must be read consistently.</w:t>
      </w:r>
    </w:p>
    <w:p w:rsidR="009D04C6" w:rsidRPr="00E56D20" w:rsidRDefault="009D04C6" w:rsidP="00523DDC">
      <w:pPr>
        <w:jc w:val="both"/>
        <w:rPr>
          <w:sz w:val="21"/>
          <w:szCs w:val="23"/>
        </w:rPr>
      </w:pPr>
    </w:p>
    <w:sectPr w:rsidR="009D04C6" w:rsidRPr="00E56D20"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24D3"/>
    <w:rsid w:val="00090511"/>
    <w:rsid w:val="000A3803"/>
    <w:rsid w:val="000C1092"/>
    <w:rsid w:val="000F16D8"/>
    <w:rsid w:val="00101653"/>
    <w:rsid w:val="00114C19"/>
    <w:rsid w:val="00145EB4"/>
    <w:rsid w:val="00150B77"/>
    <w:rsid w:val="00183753"/>
    <w:rsid w:val="00183B43"/>
    <w:rsid w:val="00194A0E"/>
    <w:rsid w:val="001A6F4C"/>
    <w:rsid w:val="001B2811"/>
    <w:rsid w:val="001B2FE2"/>
    <w:rsid w:val="002056BF"/>
    <w:rsid w:val="00210A77"/>
    <w:rsid w:val="002154BC"/>
    <w:rsid w:val="00240EA9"/>
    <w:rsid w:val="00252C63"/>
    <w:rsid w:val="00256D5D"/>
    <w:rsid w:val="002920F5"/>
    <w:rsid w:val="002A492B"/>
    <w:rsid w:val="002A6C76"/>
    <w:rsid w:val="002D51B2"/>
    <w:rsid w:val="002F1FF0"/>
    <w:rsid w:val="00311C7E"/>
    <w:rsid w:val="00331F7D"/>
    <w:rsid w:val="003441C4"/>
    <w:rsid w:val="00352EDD"/>
    <w:rsid w:val="00364B87"/>
    <w:rsid w:val="00384E3E"/>
    <w:rsid w:val="003A0F61"/>
    <w:rsid w:val="003E4554"/>
    <w:rsid w:val="003E4D20"/>
    <w:rsid w:val="00400993"/>
    <w:rsid w:val="004265A5"/>
    <w:rsid w:val="00430400"/>
    <w:rsid w:val="00432A30"/>
    <w:rsid w:val="0043333B"/>
    <w:rsid w:val="004736E8"/>
    <w:rsid w:val="004B064E"/>
    <w:rsid w:val="004D25C5"/>
    <w:rsid w:val="004E367B"/>
    <w:rsid w:val="004E771A"/>
    <w:rsid w:val="00504083"/>
    <w:rsid w:val="00506E73"/>
    <w:rsid w:val="005141E9"/>
    <w:rsid w:val="00523DDC"/>
    <w:rsid w:val="0053358E"/>
    <w:rsid w:val="00542CDA"/>
    <w:rsid w:val="00565596"/>
    <w:rsid w:val="005A5E5C"/>
    <w:rsid w:val="005C27B8"/>
    <w:rsid w:val="005F7D6E"/>
    <w:rsid w:val="00601CAD"/>
    <w:rsid w:val="00617BDA"/>
    <w:rsid w:val="00624565"/>
    <w:rsid w:val="006274BC"/>
    <w:rsid w:val="00641968"/>
    <w:rsid w:val="00646AFD"/>
    <w:rsid w:val="00675D06"/>
    <w:rsid w:val="00684B24"/>
    <w:rsid w:val="006D084B"/>
    <w:rsid w:val="006D385F"/>
    <w:rsid w:val="006E499A"/>
    <w:rsid w:val="006F58E1"/>
    <w:rsid w:val="00711929"/>
    <w:rsid w:val="0073294E"/>
    <w:rsid w:val="00732C9C"/>
    <w:rsid w:val="00755580"/>
    <w:rsid w:val="00786891"/>
    <w:rsid w:val="007A6EC2"/>
    <w:rsid w:val="007B1AA5"/>
    <w:rsid w:val="007B47AD"/>
    <w:rsid w:val="007C2CE2"/>
    <w:rsid w:val="007D54D2"/>
    <w:rsid w:val="007E065C"/>
    <w:rsid w:val="007E4098"/>
    <w:rsid w:val="007F1356"/>
    <w:rsid w:val="007F548D"/>
    <w:rsid w:val="00801333"/>
    <w:rsid w:val="00801C62"/>
    <w:rsid w:val="00811163"/>
    <w:rsid w:val="008359CF"/>
    <w:rsid w:val="008540ED"/>
    <w:rsid w:val="00874237"/>
    <w:rsid w:val="0088175D"/>
    <w:rsid w:val="008A2EC0"/>
    <w:rsid w:val="008D2534"/>
    <w:rsid w:val="008D7674"/>
    <w:rsid w:val="00900430"/>
    <w:rsid w:val="00913DD9"/>
    <w:rsid w:val="00922787"/>
    <w:rsid w:val="0094108B"/>
    <w:rsid w:val="00945348"/>
    <w:rsid w:val="009459B1"/>
    <w:rsid w:val="00973E8D"/>
    <w:rsid w:val="00975184"/>
    <w:rsid w:val="00994504"/>
    <w:rsid w:val="009A3C1C"/>
    <w:rsid w:val="009A7446"/>
    <w:rsid w:val="009B2757"/>
    <w:rsid w:val="009C015E"/>
    <w:rsid w:val="009D04C6"/>
    <w:rsid w:val="009D5316"/>
    <w:rsid w:val="009E21E4"/>
    <w:rsid w:val="009F5999"/>
    <w:rsid w:val="009F66FE"/>
    <w:rsid w:val="00A002E0"/>
    <w:rsid w:val="00A03DCD"/>
    <w:rsid w:val="00A30A04"/>
    <w:rsid w:val="00A43890"/>
    <w:rsid w:val="00A4574F"/>
    <w:rsid w:val="00A504F1"/>
    <w:rsid w:val="00A536EB"/>
    <w:rsid w:val="00AE04C2"/>
    <w:rsid w:val="00AE2F2B"/>
    <w:rsid w:val="00B532C4"/>
    <w:rsid w:val="00B55B7C"/>
    <w:rsid w:val="00B76117"/>
    <w:rsid w:val="00B77AF4"/>
    <w:rsid w:val="00B860DF"/>
    <w:rsid w:val="00B9364E"/>
    <w:rsid w:val="00BA3DC3"/>
    <w:rsid w:val="00BB3A5A"/>
    <w:rsid w:val="00BB6D9F"/>
    <w:rsid w:val="00BE5B4C"/>
    <w:rsid w:val="00C01A30"/>
    <w:rsid w:val="00C24833"/>
    <w:rsid w:val="00C355CA"/>
    <w:rsid w:val="00C53503"/>
    <w:rsid w:val="00C61A8C"/>
    <w:rsid w:val="00C848E3"/>
    <w:rsid w:val="00C87111"/>
    <w:rsid w:val="00CA346A"/>
    <w:rsid w:val="00CA66B3"/>
    <w:rsid w:val="00CE4417"/>
    <w:rsid w:val="00CF3087"/>
    <w:rsid w:val="00D01E4F"/>
    <w:rsid w:val="00D14075"/>
    <w:rsid w:val="00D54355"/>
    <w:rsid w:val="00DA09B7"/>
    <w:rsid w:val="00DA3E8A"/>
    <w:rsid w:val="00DA48BF"/>
    <w:rsid w:val="00DB5E70"/>
    <w:rsid w:val="00E01FC6"/>
    <w:rsid w:val="00E103C7"/>
    <w:rsid w:val="00E26535"/>
    <w:rsid w:val="00E2703B"/>
    <w:rsid w:val="00E33E99"/>
    <w:rsid w:val="00E463F7"/>
    <w:rsid w:val="00E56D20"/>
    <w:rsid w:val="00E71F19"/>
    <w:rsid w:val="00EA0993"/>
    <w:rsid w:val="00EE04EB"/>
    <w:rsid w:val="00EE788A"/>
    <w:rsid w:val="00F110C8"/>
    <w:rsid w:val="00F1566A"/>
    <w:rsid w:val="00F24A7E"/>
    <w:rsid w:val="00F4317E"/>
    <w:rsid w:val="00F545E1"/>
    <w:rsid w:val="00F56C24"/>
    <w:rsid w:val="00F75695"/>
    <w:rsid w:val="00F76261"/>
    <w:rsid w:val="00F7651C"/>
    <w:rsid w:val="00FA76C1"/>
    <w:rsid w:val="00FB1DE4"/>
    <w:rsid w:val="00FC2785"/>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1</Pages>
  <Words>594</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Cullen J. Jackson</cp:lastModifiedBy>
  <cp:revision>6</cp:revision>
  <cp:lastPrinted>2012-08-16T13:33:00Z</cp:lastPrinted>
  <dcterms:created xsi:type="dcterms:W3CDTF">2012-08-15T17:02:00Z</dcterms:created>
  <dcterms:modified xsi:type="dcterms:W3CDTF">2012-08-16T14:59:00Z</dcterms:modified>
</cp:coreProperties>
</file>