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A536EB" w:rsidRDefault="00732C9C" w:rsidP="00732C9C">
      <w:pPr>
        <w:jc w:val="center"/>
        <w:rPr>
          <w:b/>
          <w:sz w:val="23"/>
          <w:szCs w:val="23"/>
          <w:u w:val="single"/>
        </w:rPr>
      </w:pPr>
      <w:r w:rsidRPr="00A536EB">
        <w:rPr>
          <w:b/>
          <w:sz w:val="23"/>
          <w:szCs w:val="23"/>
          <w:u w:val="single"/>
        </w:rPr>
        <w:t xml:space="preserve">OCB AWARD NUMBER: </w:t>
      </w:r>
      <w:r w:rsidR="009A7446">
        <w:rPr>
          <w:b/>
          <w:sz w:val="23"/>
          <w:szCs w:val="23"/>
          <w:u w:val="single"/>
        </w:rPr>
        <w:t>21</w:t>
      </w:r>
      <w:r w:rsidR="00B872CE">
        <w:rPr>
          <w:b/>
          <w:sz w:val="23"/>
          <w:szCs w:val="23"/>
          <w:u w:val="single"/>
        </w:rPr>
        <w:t>69</w:t>
      </w:r>
    </w:p>
    <w:p w:rsidR="00732C9C" w:rsidRPr="00A536EB" w:rsidRDefault="00732C9C" w:rsidP="00732C9C">
      <w:pPr>
        <w:jc w:val="center"/>
        <w:rPr>
          <w:sz w:val="23"/>
          <w:szCs w:val="23"/>
        </w:rPr>
      </w:pPr>
    </w:p>
    <w:tbl>
      <w:tblPr>
        <w:tblW w:w="10548" w:type="dxa"/>
        <w:tblLayout w:type="fixed"/>
        <w:tblLook w:val="0000" w:firstRow="0" w:lastRow="0" w:firstColumn="0" w:lastColumn="0" w:noHBand="0" w:noVBand="0"/>
      </w:tblPr>
      <w:tblGrid>
        <w:gridCol w:w="3203"/>
        <w:gridCol w:w="749"/>
        <w:gridCol w:w="6561"/>
        <w:gridCol w:w="35"/>
      </w:tblGrid>
      <w:tr w:rsidR="00732C9C" w:rsidRPr="00A536EB" w:rsidTr="00024D63">
        <w:trPr>
          <w:trHeight w:val="244"/>
        </w:trPr>
        <w:tc>
          <w:tcPr>
            <w:tcW w:w="3203" w:type="dxa"/>
          </w:tcPr>
          <w:p w:rsidR="00732C9C" w:rsidRPr="00786891" w:rsidRDefault="00732C9C" w:rsidP="00732C9C">
            <w:pPr>
              <w:rPr>
                <w:sz w:val="21"/>
                <w:szCs w:val="21"/>
              </w:rPr>
            </w:pPr>
            <w:r w:rsidRPr="00786891">
              <w:rPr>
                <w:b/>
                <w:sz w:val="21"/>
                <w:szCs w:val="21"/>
              </w:rPr>
              <w:t>SUBJECT:</w:t>
            </w:r>
          </w:p>
        </w:tc>
        <w:tc>
          <w:tcPr>
            <w:tcW w:w="7345" w:type="dxa"/>
            <w:gridSpan w:val="3"/>
          </w:tcPr>
          <w:p w:rsidR="00732C9C" w:rsidRPr="00786891" w:rsidRDefault="00732C9C" w:rsidP="00B872CE">
            <w:pPr>
              <w:rPr>
                <w:sz w:val="21"/>
                <w:szCs w:val="21"/>
              </w:rPr>
            </w:pPr>
            <w:r w:rsidRPr="00786891">
              <w:rPr>
                <w:b/>
                <w:sz w:val="21"/>
                <w:szCs w:val="21"/>
              </w:rPr>
              <w:t>ARB SUMMARY #</w:t>
            </w:r>
            <w:r w:rsidR="00F76261">
              <w:rPr>
                <w:b/>
                <w:sz w:val="21"/>
                <w:szCs w:val="21"/>
              </w:rPr>
              <w:t xml:space="preserve"> </w:t>
            </w:r>
            <w:r w:rsidR="009A7446">
              <w:rPr>
                <w:b/>
                <w:sz w:val="21"/>
                <w:szCs w:val="21"/>
              </w:rPr>
              <w:t>21</w:t>
            </w:r>
            <w:r w:rsidR="00B872CE">
              <w:rPr>
                <w:b/>
                <w:sz w:val="21"/>
                <w:szCs w:val="21"/>
              </w:rPr>
              <w:t>69</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TO:</w:t>
            </w:r>
          </w:p>
        </w:tc>
        <w:tc>
          <w:tcPr>
            <w:tcW w:w="7345" w:type="dxa"/>
            <w:gridSpan w:val="3"/>
          </w:tcPr>
          <w:p w:rsidR="00732C9C" w:rsidRPr="00786891" w:rsidRDefault="00732C9C" w:rsidP="00732C9C">
            <w:pPr>
              <w:rPr>
                <w:b/>
                <w:sz w:val="21"/>
                <w:szCs w:val="21"/>
              </w:rPr>
            </w:pPr>
            <w:r w:rsidRPr="00786891">
              <w:rPr>
                <w:b/>
                <w:sz w:val="21"/>
                <w:szCs w:val="21"/>
              </w:rPr>
              <w:t>ALL ADVOCATES</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FROM:</w:t>
            </w:r>
          </w:p>
        </w:tc>
        <w:tc>
          <w:tcPr>
            <w:tcW w:w="7345" w:type="dxa"/>
            <w:gridSpan w:val="3"/>
          </w:tcPr>
          <w:p w:rsidR="00732C9C" w:rsidRPr="00786891" w:rsidRDefault="00675D06" w:rsidP="00732C9C">
            <w:pPr>
              <w:rPr>
                <w:b/>
                <w:sz w:val="21"/>
                <w:szCs w:val="21"/>
              </w:rPr>
            </w:pPr>
            <w:r w:rsidRPr="00786891">
              <w:rPr>
                <w:b/>
                <w:sz w:val="21"/>
                <w:szCs w:val="21"/>
              </w:rPr>
              <w:t>DAVID LONG</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OCB GRIEVANCE NUMBER:</w:t>
            </w:r>
          </w:p>
        </w:tc>
        <w:tc>
          <w:tcPr>
            <w:tcW w:w="7345" w:type="dxa"/>
            <w:gridSpan w:val="3"/>
          </w:tcPr>
          <w:p w:rsidR="00732C9C" w:rsidRPr="00786891" w:rsidRDefault="00B872CE" w:rsidP="00B872CE">
            <w:pPr>
              <w:rPr>
                <w:b/>
                <w:sz w:val="21"/>
                <w:szCs w:val="21"/>
              </w:rPr>
            </w:pPr>
            <w:r>
              <w:rPr>
                <w:b/>
                <w:sz w:val="21"/>
                <w:szCs w:val="21"/>
              </w:rPr>
              <w:t>27</w:t>
            </w:r>
            <w:r w:rsidR="009A7446">
              <w:rPr>
                <w:b/>
                <w:sz w:val="21"/>
                <w:szCs w:val="21"/>
              </w:rPr>
              <w:t>-</w:t>
            </w:r>
            <w:r w:rsidR="006D385F">
              <w:rPr>
                <w:b/>
                <w:sz w:val="21"/>
                <w:szCs w:val="21"/>
              </w:rPr>
              <w:t>03</w:t>
            </w:r>
            <w:r w:rsidR="009A7446">
              <w:rPr>
                <w:b/>
                <w:sz w:val="21"/>
                <w:szCs w:val="21"/>
              </w:rPr>
              <w:t>-201</w:t>
            </w:r>
            <w:r>
              <w:rPr>
                <w:b/>
                <w:sz w:val="21"/>
                <w:szCs w:val="21"/>
              </w:rPr>
              <w:t>1</w:t>
            </w:r>
            <w:r w:rsidR="009A7446">
              <w:rPr>
                <w:b/>
                <w:sz w:val="21"/>
                <w:szCs w:val="21"/>
              </w:rPr>
              <w:t>021</w:t>
            </w:r>
            <w:r>
              <w:rPr>
                <w:b/>
                <w:sz w:val="21"/>
                <w:szCs w:val="21"/>
              </w:rPr>
              <w:t>4</w:t>
            </w:r>
            <w:r w:rsidR="009A7446">
              <w:rPr>
                <w:b/>
                <w:sz w:val="21"/>
                <w:szCs w:val="21"/>
              </w:rPr>
              <w:t>-00</w:t>
            </w:r>
            <w:r>
              <w:rPr>
                <w:b/>
                <w:sz w:val="21"/>
                <w:szCs w:val="21"/>
              </w:rPr>
              <w:t>03</w:t>
            </w:r>
            <w:r w:rsidR="009A7446">
              <w:rPr>
                <w:b/>
                <w:sz w:val="21"/>
                <w:szCs w:val="21"/>
              </w:rPr>
              <w:t>-0</w:t>
            </w:r>
            <w:r>
              <w:rPr>
                <w:b/>
                <w:sz w:val="21"/>
                <w:szCs w:val="21"/>
              </w:rPr>
              <w:t>1</w:t>
            </w:r>
            <w:r w:rsidR="009A7446">
              <w:rPr>
                <w:b/>
                <w:sz w:val="21"/>
                <w:szCs w:val="21"/>
              </w:rPr>
              <w:t>-0</w:t>
            </w:r>
            <w:r>
              <w:rPr>
                <w:b/>
                <w:sz w:val="21"/>
                <w:szCs w:val="21"/>
              </w:rPr>
              <w:t>6</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DEPARTMENT:</w:t>
            </w:r>
          </w:p>
        </w:tc>
        <w:tc>
          <w:tcPr>
            <w:tcW w:w="7345" w:type="dxa"/>
            <w:gridSpan w:val="3"/>
          </w:tcPr>
          <w:p w:rsidR="00732C9C" w:rsidRPr="00786891" w:rsidRDefault="00B872CE" w:rsidP="00732C9C">
            <w:pPr>
              <w:ind w:left="432" w:hanging="432"/>
              <w:rPr>
                <w:sz w:val="21"/>
                <w:szCs w:val="21"/>
              </w:rPr>
            </w:pPr>
            <w:r>
              <w:rPr>
                <w:sz w:val="21"/>
                <w:szCs w:val="21"/>
              </w:rPr>
              <w:t>Department of Rehabilitation and Correction</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UNION:</w:t>
            </w:r>
          </w:p>
        </w:tc>
        <w:tc>
          <w:tcPr>
            <w:tcW w:w="7345" w:type="dxa"/>
            <w:gridSpan w:val="3"/>
          </w:tcPr>
          <w:p w:rsidR="00732C9C" w:rsidRPr="00786891" w:rsidRDefault="00B872CE" w:rsidP="00732C9C">
            <w:pPr>
              <w:ind w:left="432" w:hanging="432"/>
              <w:rPr>
                <w:sz w:val="21"/>
                <w:szCs w:val="21"/>
              </w:rPr>
            </w:pPr>
            <w:r>
              <w:rPr>
                <w:sz w:val="21"/>
                <w:szCs w:val="21"/>
              </w:rPr>
              <w:t>OCSEA</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ARBITRATOR:</w:t>
            </w:r>
          </w:p>
        </w:tc>
        <w:tc>
          <w:tcPr>
            <w:tcW w:w="7345" w:type="dxa"/>
            <w:gridSpan w:val="3"/>
          </w:tcPr>
          <w:p w:rsidR="00732C9C" w:rsidRPr="00786891" w:rsidRDefault="00B872CE" w:rsidP="00E2703B">
            <w:pPr>
              <w:ind w:left="432" w:hanging="432"/>
              <w:rPr>
                <w:sz w:val="21"/>
                <w:szCs w:val="21"/>
              </w:rPr>
            </w:pPr>
            <w:r>
              <w:rPr>
                <w:sz w:val="21"/>
                <w:szCs w:val="21"/>
              </w:rPr>
              <w:t xml:space="preserve">Thomas </w:t>
            </w:r>
            <w:proofErr w:type="spellStart"/>
            <w:r>
              <w:rPr>
                <w:sz w:val="21"/>
                <w:szCs w:val="21"/>
              </w:rPr>
              <w:t>Nowel</w:t>
            </w:r>
            <w:proofErr w:type="spellEnd"/>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GRIEVANT NAME:</w:t>
            </w:r>
          </w:p>
        </w:tc>
        <w:tc>
          <w:tcPr>
            <w:tcW w:w="7345" w:type="dxa"/>
            <w:gridSpan w:val="3"/>
          </w:tcPr>
          <w:p w:rsidR="00732C9C" w:rsidRPr="00786891" w:rsidRDefault="00B872CE" w:rsidP="00732C9C">
            <w:pPr>
              <w:ind w:left="432" w:hanging="432"/>
              <w:rPr>
                <w:sz w:val="21"/>
                <w:szCs w:val="21"/>
              </w:rPr>
            </w:pPr>
            <w:r>
              <w:rPr>
                <w:sz w:val="21"/>
                <w:szCs w:val="21"/>
              </w:rPr>
              <w:t>Steve Parks, Jeff Herald, Merle Sayers and J.D. Hunt</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MANAGEMENT ADVOCATE:</w:t>
            </w:r>
          </w:p>
        </w:tc>
        <w:tc>
          <w:tcPr>
            <w:tcW w:w="7345" w:type="dxa"/>
            <w:gridSpan w:val="3"/>
          </w:tcPr>
          <w:p w:rsidR="00732C9C" w:rsidRPr="00786891" w:rsidRDefault="00B872CE" w:rsidP="00732C9C">
            <w:pPr>
              <w:ind w:left="432" w:hanging="432"/>
              <w:rPr>
                <w:sz w:val="21"/>
                <w:szCs w:val="21"/>
              </w:rPr>
            </w:pPr>
            <w:r>
              <w:rPr>
                <w:sz w:val="21"/>
                <w:szCs w:val="21"/>
              </w:rPr>
              <w:t>Chris Lambert</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2ND CHAIR:</w:t>
            </w:r>
          </w:p>
        </w:tc>
        <w:tc>
          <w:tcPr>
            <w:tcW w:w="7345" w:type="dxa"/>
            <w:gridSpan w:val="3"/>
          </w:tcPr>
          <w:p w:rsidR="00732C9C" w:rsidRPr="00786891" w:rsidRDefault="00B872CE" w:rsidP="00732C9C">
            <w:pPr>
              <w:ind w:left="432" w:hanging="432"/>
              <w:rPr>
                <w:sz w:val="21"/>
                <w:szCs w:val="21"/>
              </w:rPr>
            </w:pPr>
            <w:r>
              <w:rPr>
                <w:sz w:val="21"/>
                <w:szCs w:val="21"/>
              </w:rPr>
              <w:t>Jackie Milson</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UNION ADVOCATE:</w:t>
            </w:r>
          </w:p>
        </w:tc>
        <w:tc>
          <w:tcPr>
            <w:tcW w:w="7345" w:type="dxa"/>
            <w:gridSpan w:val="3"/>
          </w:tcPr>
          <w:p w:rsidR="00732C9C" w:rsidRPr="00786891" w:rsidRDefault="00B872CE" w:rsidP="00732C9C">
            <w:pPr>
              <w:ind w:left="432" w:hanging="432"/>
              <w:rPr>
                <w:sz w:val="21"/>
                <w:szCs w:val="21"/>
              </w:rPr>
            </w:pPr>
            <w:r>
              <w:rPr>
                <w:sz w:val="21"/>
                <w:szCs w:val="21"/>
              </w:rPr>
              <w:t>Dave Justice</w:t>
            </w:r>
          </w:p>
        </w:tc>
      </w:tr>
      <w:tr w:rsidR="00732C9C" w:rsidRPr="00A536EB" w:rsidTr="006D385F">
        <w:trPr>
          <w:trHeight w:val="80"/>
        </w:trPr>
        <w:tc>
          <w:tcPr>
            <w:tcW w:w="3203" w:type="dxa"/>
          </w:tcPr>
          <w:p w:rsidR="00732C9C" w:rsidRPr="00786891" w:rsidRDefault="00732C9C" w:rsidP="00732C9C">
            <w:pPr>
              <w:rPr>
                <w:b/>
                <w:sz w:val="21"/>
                <w:szCs w:val="21"/>
              </w:rPr>
            </w:pPr>
            <w:r w:rsidRPr="00786891">
              <w:rPr>
                <w:b/>
                <w:sz w:val="21"/>
                <w:szCs w:val="21"/>
              </w:rPr>
              <w:t>ARBITRATION DATE:</w:t>
            </w:r>
          </w:p>
        </w:tc>
        <w:tc>
          <w:tcPr>
            <w:tcW w:w="7345" w:type="dxa"/>
            <w:gridSpan w:val="3"/>
          </w:tcPr>
          <w:p w:rsidR="00732C9C" w:rsidRPr="00786891" w:rsidRDefault="00B872CE" w:rsidP="00B872CE">
            <w:pPr>
              <w:ind w:left="432" w:hanging="432"/>
              <w:rPr>
                <w:sz w:val="21"/>
                <w:szCs w:val="21"/>
              </w:rPr>
            </w:pPr>
            <w:r>
              <w:rPr>
                <w:sz w:val="21"/>
                <w:szCs w:val="21"/>
              </w:rPr>
              <w:t>June</w:t>
            </w:r>
            <w:r w:rsidR="00E2703B">
              <w:rPr>
                <w:sz w:val="21"/>
                <w:szCs w:val="21"/>
              </w:rPr>
              <w:t xml:space="preserve"> </w:t>
            </w:r>
            <w:r>
              <w:rPr>
                <w:sz w:val="21"/>
                <w:szCs w:val="21"/>
              </w:rPr>
              <w:t>8</w:t>
            </w:r>
            <w:r w:rsidR="009C015E" w:rsidRPr="00786891">
              <w:rPr>
                <w:sz w:val="21"/>
                <w:szCs w:val="21"/>
              </w:rPr>
              <w:t>, 2012</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DECISION DATE:</w:t>
            </w:r>
          </w:p>
        </w:tc>
        <w:tc>
          <w:tcPr>
            <w:tcW w:w="7345" w:type="dxa"/>
            <w:gridSpan w:val="3"/>
          </w:tcPr>
          <w:p w:rsidR="00732C9C" w:rsidRPr="00786891" w:rsidRDefault="00C87111" w:rsidP="00B872CE">
            <w:pPr>
              <w:ind w:left="432" w:hanging="432"/>
              <w:rPr>
                <w:sz w:val="21"/>
                <w:szCs w:val="21"/>
              </w:rPr>
            </w:pPr>
            <w:r w:rsidRPr="00786891">
              <w:rPr>
                <w:sz w:val="21"/>
                <w:szCs w:val="21"/>
              </w:rPr>
              <w:t>June</w:t>
            </w:r>
            <w:r w:rsidR="009C015E" w:rsidRPr="00786891">
              <w:rPr>
                <w:sz w:val="21"/>
                <w:szCs w:val="21"/>
              </w:rPr>
              <w:t xml:space="preserve"> </w:t>
            </w:r>
            <w:r w:rsidR="00B872CE">
              <w:rPr>
                <w:sz w:val="21"/>
                <w:szCs w:val="21"/>
              </w:rPr>
              <w:t>13</w:t>
            </w:r>
            <w:r w:rsidR="00C848E3" w:rsidRPr="00786891">
              <w:rPr>
                <w:sz w:val="21"/>
                <w:szCs w:val="21"/>
              </w:rPr>
              <w:t>, 2012</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DECISION:</w:t>
            </w:r>
          </w:p>
        </w:tc>
        <w:tc>
          <w:tcPr>
            <w:tcW w:w="7345" w:type="dxa"/>
            <w:gridSpan w:val="3"/>
          </w:tcPr>
          <w:p w:rsidR="00732C9C" w:rsidRPr="00786891" w:rsidRDefault="00B872CE" w:rsidP="00732C9C">
            <w:pPr>
              <w:ind w:left="432" w:hanging="432"/>
              <w:rPr>
                <w:sz w:val="21"/>
                <w:szCs w:val="21"/>
              </w:rPr>
            </w:pPr>
            <w:r>
              <w:rPr>
                <w:sz w:val="21"/>
                <w:szCs w:val="21"/>
              </w:rPr>
              <w:t>DENIED</w:t>
            </w:r>
          </w:p>
        </w:tc>
      </w:tr>
      <w:tr w:rsidR="00732C9C" w:rsidRPr="00A536EB" w:rsidTr="00024D63">
        <w:trPr>
          <w:trHeight w:val="472"/>
        </w:trPr>
        <w:tc>
          <w:tcPr>
            <w:tcW w:w="3203" w:type="dxa"/>
          </w:tcPr>
          <w:p w:rsidR="00732C9C" w:rsidRPr="00786891" w:rsidRDefault="00732C9C" w:rsidP="00732C9C">
            <w:pPr>
              <w:rPr>
                <w:b/>
                <w:sz w:val="21"/>
                <w:szCs w:val="21"/>
              </w:rPr>
            </w:pPr>
            <w:r w:rsidRPr="00786891">
              <w:rPr>
                <w:b/>
                <w:sz w:val="21"/>
                <w:szCs w:val="21"/>
              </w:rPr>
              <w:t>CONTRACT SECTIONS:</w:t>
            </w:r>
          </w:p>
        </w:tc>
        <w:tc>
          <w:tcPr>
            <w:tcW w:w="7345" w:type="dxa"/>
            <w:gridSpan w:val="3"/>
          </w:tcPr>
          <w:p w:rsidR="00732C9C" w:rsidRPr="00786891" w:rsidRDefault="00C87111" w:rsidP="00B80E97">
            <w:pPr>
              <w:ind w:left="432" w:hanging="432"/>
              <w:rPr>
                <w:sz w:val="21"/>
                <w:szCs w:val="21"/>
              </w:rPr>
            </w:pPr>
            <w:r w:rsidRPr="00786891">
              <w:rPr>
                <w:sz w:val="21"/>
                <w:szCs w:val="21"/>
              </w:rPr>
              <w:t>Article</w:t>
            </w:r>
            <w:r w:rsidR="009C015E" w:rsidRPr="00786891">
              <w:rPr>
                <w:sz w:val="21"/>
                <w:szCs w:val="21"/>
              </w:rPr>
              <w:t xml:space="preserve"> </w:t>
            </w:r>
            <w:r w:rsidR="00B80E97">
              <w:rPr>
                <w:sz w:val="21"/>
                <w:szCs w:val="21"/>
              </w:rPr>
              <w:t>44.02 – Operations of Rules and Law</w:t>
            </w:r>
          </w:p>
        </w:tc>
      </w:tr>
      <w:tr w:rsidR="00732C9C" w:rsidRPr="00A536EB" w:rsidTr="00024D63">
        <w:trPr>
          <w:trHeight w:val="270"/>
        </w:trPr>
        <w:tc>
          <w:tcPr>
            <w:tcW w:w="3203" w:type="dxa"/>
          </w:tcPr>
          <w:p w:rsidR="00732C9C" w:rsidRPr="00786891" w:rsidRDefault="00732C9C" w:rsidP="00732C9C">
            <w:pPr>
              <w:rPr>
                <w:b/>
                <w:sz w:val="21"/>
                <w:szCs w:val="21"/>
              </w:rPr>
            </w:pPr>
            <w:r w:rsidRPr="00786891">
              <w:rPr>
                <w:b/>
                <w:sz w:val="21"/>
                <w:szCs w:val="21"/>
              </w:rPr>
              <w:t>OCB RESEARCH CODES:</w:t>
            </w:r>
          </w:p>
        </w:tc>
        <w:tc>
          <w:tcPr>
            <w:tcW w:w="7345" w:type="dxa"/>
            <w:gridSpan w:val="3"/>
          </w:tcPr>
          <w:p w:rsidR="00732C9C" w:rsidRPr="00786891" w:rsidRDefault="00B77AF4" w:rsidP="00B80E97">
            <w:pPr>
              <w:ind w:left="432" w:hanging="432"/>
              <w:rPr>
                <w:sz w:val="21"/>
                <w:szCs w:val="21"/>
              </w:rPr>
            </w:pPr>
            <w:r w:rsidRPr="00786891">
              <w:rPr>
                <w:sz w:val="21"/>
                <w:szCs w:val="21"/>
              </w:rPr>
              <w:t>118.</w:t>
            </w:r>
            <w:r w:rsidR="00B80E97">
              <w:rPr>
                <w:sz w:val="21"/>
                <w:szCs w:val="21"/>
              </w:rPr>
              <w:t>6561</w:t>
            </w:r>
            <w:r w:rsidR="00C53503" w:rsidRPr="00786891">
              <w:rPr>
                <w:sz w:val="21"/>
                <w:szCs w:val="21"/>
              </w:rPr>
              <w:t>—</w:t>
            </w:r>
            <w:r w:rsidR="00B80E97">
              <w:rPr>
                <w:sz w:val="21"/>
                <w:szCs w:val="21"/>
              </w:rPr>
              <w:t>Work Rules</w:t>
            </w:r>
            <w:r w:rsidR="00C53503" w:rsidRPr="00786891">
              <w:rPr>
                <w:sz w:val="21"/>
                <w:szCs w:val="21"/>
              </w:rPr>
              <w:t>-In General</w:t>
            </w:r>
            <w:r w:rsidR="009F66FE" w:rsidRPr="00786891">
              <w:rPr>
                <w:sz w:val="21"/>
                <w:szCs w:val="21"/>
              </w:rPr>
              <w:t xml:space="preserve">; </w:t>
            </w:r>
            <w:r w:rsidR="00B80E97">
              <w:rPr>
                <w:sz w:val="21"/>
                <w:szCs w:val="21"/>
              </w:rPr>
              <w:t>115.55—Hazard Pay; 93.49—Settlement of Grievances</w:t>
            </w:r>
          </w:p>
        </w:tc>
      </w:tr>
      <w:tr w:rsidR="00732C9C" w:rsidRPr="00A536EB" w:rsidTr="00024D63">
        <w:trPr>
          <w:gridAfter w:val="1"/>
          <w:wAfter w:w="35" w:type="dxa"/>
          <w:trHeight w:val="231"/>
        </w:trPr>
        <w:tc>
          <w:tcPr>
            <w:tcW w:w="3952" w:type="dxa"/>
            <w:gridSpan w:val="2"/>
          </w:tcPr>
          <w:p w:rsidR="00732C9C" w:rsidRPr="00024D63" w:rsidRDefault="00732C9C" w:rsidP="00732C9C">
            <w:pPr>
              <w:rPr>
                <w:b/>
                <w:sz w:val="11"/>
                <w:szCs w:val="23"/>
              </w:rPr>
            </w:pPr>
          </w:p>
        </w:tc>
        <w:tc>
          <w:tcPr>
            <w:tcW w:w="6561" w:type="dxa"/>
          </w:tcPr>
          <w:p w:rsidR="00732C9C" w:rsidRPr="00506E73" w:rsidRDefault="00732C9C" w:rsidP="00506E73">
            <w:pPr>
              <w:rPr>
                <w:sz w:val="2"/>
                <w:szCs w:val="23"/>
              </w:rPr>
            </w:pPr>
          </w:p>
        </w:tc>
      </w:tr>
    </w:tbl>
    <w:p w:rsidR="007C2CE2" w:rsidRPr="00A536EB" w:rsidRDefault="00732C9C" w:rsidP="00DB5E70">
      <w:pPr>
        <w:jc w:val="both"/>
        <w:rPr>
          <w:sz w:val="23"/>
          <w:szCs w:val="23"/>
        </w:rPr>
      </w:pPr>
      <w:r w:rsidRPr="00A536EB">
        <w:rPr>
          <w:b/>
          <w:sz w:val="23"/>
          <w:szCs w:val="23"/>
        </w:rPr>
        <w:t xml:space="preserve">HOLDING: </w:t>
      </w:r>
      <w:r w:rsidRPr="00A536EB">
        <w:rPr>
          <w:b/>
          <w:sz w:val="23"/>
          <w:szCs w:val="23"/>
        </w:rPr>
        <w:tab/>
      </w:r>
      <w:r w:rsidR="00641968" w:rsidRPr="00A536EB">
        <w:rPr>
          <w:b/>
          <w:sz w:val="23"/>
          <w:szCs w:val="23"/>
        </w:rPr>
        <w:t xml:space="preserve">Grievance </w:t>
      </w:r>
      <w:r w:rsidR="00B80E97">
        <w:rPr>
          <w:b/>
          <w:sz w:val="23"/>
          <w:szCs w:val="23"/>
        </w:rPr>
        <w:t>DENIED</w:t>
      </w:r>
      <w:r w:rsidR="005C27B8" w:rsidRPr="00A536EB">
        <w:rPr>
          <w:b/>
          <w:sz w:val="23"/>
          <w:szCs w:val="23"/>
        </w:rPr>
        <w:t xml:space="preserve">. The Arbitrator found </w:t>
      </w:r>
      <w:r w:rsidR="0073294E" w:rsidRPr="00A536EB">
        <w:rPr>
          <w:b/>
          <w:sz w:val="23"/>
          <w:szCs w:val="23"/>
        </w:rPr>
        <w:t>that</w:t>
      </w:r>
      <w:r w:rsidR="00B80E97">
        <w:rPr>
          <w:b/>
          <w:sz w:val="23"/>
          <w:szCs w:val="23"/>
        </w:rPr>
        <w:t xml:space="preserve"> the settlement agreement was </w:t>
      </w:r>
      <w:r w:rsidR="00D11ECA">
        <w:rPr>
          <w:b/>
          <w:sz w:val="23"/>
          <w:szCs w:val="23"/>
        </w:rPr>
        <w:t xml:space="preserve">only </w:t>
      </w:r>
      <w:r w:rsidR="00B80E97">
        <w:rPr>
          <w:b/>
          <w:sz w:val="23"/>
          <w:szCs w:val="23"/>
        </w:rPr>
        <w:t xml:space="preserve">intended to provide hazard pay as long as the heating tunnels were designated as asbestos containment areas. Although the settlement agreement was silent as to duration, the settlement agreement author as well as the additional tasks required of the employees when the tunnels were designated as asbestos containment areas provided substantial weight for the contention that the agreement was never intended to run indefinitely. </w:t>
      </w:r>
    </w:p>
    <w:p w:rsidR="009E21E4" w:rsidRPr="00024D63" w:rsidRDefault="009E21E4" w:rsidP="009E21E4">
      <w:pPr>
        <w:jc w:val="both"/>
        <w:rPr>
          <w:sz w:val="15"/>
          <w:szCs w:val="23"/>
        </w:rPr>
      </w:pPr>
    </w:p>
    <w:p w:rsidR="003441C4" w:rsidRDefault="00B80E97" w:rsidP="009E21E4">
      <w:pPr>
        <w:jc w:val="both"/>
        <w:rPr>
          <w:sz w:val="23"/>
          <w:szCs w:val="23"/>
        </w:rPr>
      </w:pPr>
      <w:r>
        <w:rPr>
          <w:sz w:val="23"/>
          <w:szCs w:val="23"/>
        </w:rPr>
        <w:t xml:space="preserve">Grievants worked as plumbers for the Chillicothe Correctional Institution (CCI), with primary responsibilities for the heating tunnels.  </w:t>
      </w:r>
      <w:r w:rsidR="00922AB8">
        <w:rPr>
          <w:sz w:val="23"/>
          <w:szCs w:val="23"/>
        </w:rPr>
        <w:t xml:space="preserve">Grievants were trained, certified, and required to wear protective suits and respirators </w:t>
      </w:r>
      <w:r w:rsidR="00BE27CC">
        <w:rPr>
          <w:sz w:val="23"/>
          <w:szCs w:val="23"/>
        </w:rPr>
        <w:t xml:space="preserve">while </w:t>
      </w:r>
      <w:r w:rsidR="00922AB8">
        <w:rPr>
          <w:sz w:val="23"/>
          <w:szCs w:val="23"/>
        </w:rPr>
        <w:t>in the tunnels due to airborne asbestos</w:t>
      </w:r>
      <w:r w:rsidR="00BE27CC">
        <w:rPr>
          <w:sz w:val="23"/>
          <w:szCs w:val="23"/>
        </w:rPr>
        <w:t xml:space="preserve"> from the abatement process</w:t>
      </w:r>
      <w:r w:rsidR="00922AB8">
        <w:rPr>
          <w:sz w:val="23"/>
          <w:szCs w:val="23"/>
        </w:rPr>
        <w:t xml:space="preserve">. </w:t>
      </w:r>
      <w:r w:rsidR="00896348">
        <w:rPr>
          <w:sz w:val="23"/>
          <w:szCs w:val="23"/>
        </w:rPr>
        <w:t xml:space="preserve">Following a grievance, the parties entered into a settlement agreement whereby Grievants would receive 5% hazard duty pay for all hours worked during the heating season as well as all hours worked in the tunnels during the non-heating season. On February 24, 2011 state contractors completed the asbestos abatement and shortly thereafter, the hazard pay </w:t>
      </w:r>
      <w:r w:rsidR="00BE27CC">
        <w:rPr>
          <w:sz w:val="23"/>
          <w:szCs w:val="23"/>
        </w:rPr>
        <w:t>was discontinued. Grievants</w:t>
      </w:r>
      <w:r w:rsidR="00896348">
        <w:rPr>
          <w:sz w:val="23"/>
          <w:szCs w:val="23"/>
        </w:rPr>
        <w:t xml:space="preserve"> argue th</w:t>
      </w:r>
      <w:r w:rsidR="00BE27CC">
        <w:rPr>
          <w:sz w:val="23"/>
          <w:szCs w:val="23"/>
        </w:rPr>
        <w:t>at th</w:t>
      </w:r>
      <w:r w:rsidR="00896348">
        <w:rPr>
          <w:sz w:val="23"/>
          <w:szCs w:val="23"/>
        </w:rPr>
        <w:t xml:space="preserve">e hazard pay should continue </w:t>
      </w:r>
      <w:r w:rsidR="00BE27CC">
        <w:rPr>
          <w:sz w:val="23"/>
          <w:szCs w:val="23"/>
        </w:rPr>
        <w:t xml:space="preserve">beyond the abatement for any period in which </w:t>
      </w:r>
      <w:r w:rsidR="00896348">
        <w:rPr>
          <w:sz w:val="23"/>
          <w:szCs w:val="23"/>
        </w:rPr>
        <w:t>they work with asbestos</w:t>
      </w:r>
      <w:r w:rsidR="00BE27CC">
        <w:rPr>
          <w:sz w:val="23"/>
          <w:szCs w:val="23"/>
        </w:rPr>
        <w:t>.</w:t>
      </w:r>
    </w:p>
    <w:p w:rsidR="00B80E97" w:rsidRDefault="00B80E97" w:rsidP="009E21E4">
      <w:pPr>
        <w:jc w:val="both"/>
        <w:rPr>
          <w:sz w:val="23"/>
          <w:szCs w:val="23"/>
        </w:rPr>
      </w:pPr>
    </w:p>
    <w:p w:rsidR="007E4098" w:rsidRDefault="004E771A" w:rsidP="009E21E4">
      <w:pPr>
        <w:jc w:val="both"/>
        <w:rPr>
          <w:sz w:val="23"/>
          <w:szCs w:val="23"/>
        </w:rPr>
      </w:pPr>
      <w:r w:rsidRPr="00A536EB">
        <w:rPr>
          <w:sz w:val="23"/>
          <w:szCs w:val="23"/>
        </w:rPr>
        <w:t>Employer argued that</w:t>
      </w:r>
      <w:r w:rsidR="007E0EFE">
        <w:rPr>
          <w:sz w:val="23"/>
          <w:szCs w:val="23"/>
        </w:rPr>
        <w:t xml:space="preserve"> the asbestos hazard pay provision in the settlement agreement was limited to the heating tunnels</w:t>
      </w:r>
      <w:r w:rsidR="00D11ECA">
        <w:rPr>
          <w:sz w:val="23"/>
          <w:szCs w:val="23"/>
        </w:rPr>
        <w:t xml:space="preserve"> during the abatement</w:t>
      </w:r>
      <w:r w:rsidR="007E0EFE">
        <w:rPr>
          <w:sz w:val="23"/>
          <w:szCs w:val="23"/>
        </w:rPr>
        <w:t xml:space="preserve">. They cite Paragraph 3 of the agreement which states that the pay supplement will </w:t>
      </w:r>
      <w:r w:rsidR="00BE27CC">
        <w:rPr>
          <w:sz w:val="23"/>
          <w:szCs w:val="23"/>
        </w:rPr>
        <w:t>“</w:t>
      </w:r>
      <w:r w:rsidR="007E0EFE">
        <w:rPr>
          <w:sz w:val="23"/>
          <w:szCs w:val="23"/>
        </w:rPr>
        <w:t>discontinue upon completion of</w:t>
      </w:r>
      <w:r w:rsidR="00BE27CC">
        <w:rPr>
          <w:sz w:val="23"/>
          <w:szCs w:val="23"/>
        </w:rPr>
        <w:t xml:space="preserve"> the asbestos abatement of the </w:t>
      </w:r>
      <w:r w:rsidR="007E0EFE">
        <w:rPr>
          <w:sz w:val="23"/>
          <w:szCs w:val="23"/>
        </w:rPr>
        <w:t xml:space="preserve">identified containment areas of CCI.” Further, Bobby Johnson, author of the settlement agreement, testified that the pay supplement was </w:t>
      </w:r>
      <w:r w:rsidR="00BE27CC">
        <w:rPr>
          <w:sz w:val="23"/>
          <w:szCs w:val="23"/>
        </w:rPr>
        <w:t xml:space="preserve">solely </w:t>
      </w:r>
      <w:r w:rsidR="007E0EFE">
        <w:rPr>
          <w:sz w:val="23"/>
          <w:szCs w:val="23"/>
        </w:rPr>
        <w:t>limited to the plumbers</w:t>
      </w:r>
      <w:r w:rsidR="00BE27CC">
        <w:rPr>
          <w:sz w:val="23"/>
          <w:szCs w:val="23"/>
        </w:rPr>
        <w:t>’ work</w:t>
      </w:r>
      <w:r w:rsidR="007E0EFE">
        <w:rPr>
          <w:sz w:val="23"/>
          <w:szCs w:val="23"/>
        </w:rPr>
        <w:t xml:space="preserve"> in the tunnels </w:t>
      </w:r>
      <w:r w:rsidR="00BE27CC">
        <w:rPr>
          <w:sz w:val="23"/>
          <w:szCs w:val="23"/>
        </w:rPr>
        <w:t xml:space="preserve">while </w:t>
      </w:r>
      <w:r w:rsidR="007E0EFE">
        <w:rPr>
          <w:sz w:val="23"/>
          <w:szCs w:val="23"/>
        </w:rPr>
        <w:t>the tunnels were asbestos containment areas. Employer was jus</w:t>
      </w:r>
      <w:r w:rsidR="00D11ECA">
        <w:rPr>
          <w:sz w:val="23"/>
          <w:szCs w:val="23"/>
        </w:rPr>
        <w:t>tified in ending the hazard pay</w:t>
      </w:r>
      <w:r w:rsidR="00BE27CC">
        <w:rPr>
          <w:sz w:val="23"/>
          <w:szCs w:val="23"/>
        </w:rPr>
        <w:t xml:space="preserve"> because </w:t>
      </w:r>
      <w:r w:rsidR="00D11ECA">
        <w:rPr>
          <w:sz w:val="23"/>
          <w:szCs w:val="23"/>
        </w:rPr>
        <w:t xml:space="preserve">absent the </w:t>
      </w:r>
      <w:r w:rsidR="00BE27CC">
        <w:rPr>
          <w:sz w:val="23"/>
          <w:szCs w:val="23"/>
        </w:rPr>
        <w:t xml:space="preserve">settlement </w:t>
      </w:r>
      <w:r w:rsidR="00D11ECA">
        <w:rPr>
          <w:sz w:val="23"/>
          <w:szCs w:val="23"/>
        </w:rPr>
        <w:t>agreement, the collective bargaining agreement does not contain a provision for hazard duty pay.</w:t>
      </w:r>
    </w:p>
    <w:p w:rsidR="004E771A" w:rsidRDefault="004E771A" w:rsidP="009E21E4">
      <w:pPr>
        <w:jc w:val="both"/>
        <w:rPr>
          <w:sz w:val="23"/>
          <w:szCs w:val="23"/>
        </w:rPr>
      </w:pPr>
    </w:p>
    <w:p w:rsidR="004E771A" w:rsidRDefault="004E771A" w:rsidP="009E21E4">
      <w:pPr>
        <w:jc w:val="both"/>
        <w:rPr>
          <w:sz w:val="23"/>
          <w:szCs w:val="23"/>
        </w:rPr>
      </w:pPr>
      <w:r>
        <w:rPr>
          <w:sz w:val="23"/>
          <w:szCs w:val="23"/>
        </w:rPr>
        <w:t xml:space="preserve">The Union argued that </w:t>
      </w:r>
      <w:r w:rsidR="00D11ECA">
        <w:rPr>
          <w:sz w:val="23"/>
          <w:szCs w:val="23"/>
        </w:rPr>
        <w:t xml:space="preserve">the agreement was not limited </w:t>
      </w:r>
      <w:r w:rsidR="00966B81">
        <w:rPr>
          <w:sz w:val="23"/>
          <w:szCs w:val="23"/>
        </w:rPr>
        <w:t xml:space="preserve">solely to </w:t>
      </w:r>
      <w:r w:rsidR="00D11ECA">
        <w:rPr>
          <w:sz w:val="23"/>
          <w:szCs w:val="23"/>
        </w:rPr>
        <w:t xml:space="preserve">work in the tunnels because they received training and certification. Therefore, </w:t>
      </w:r>
      <w:r w:rsidR="00966B81">
        <w:rPr>
          <w:sz w:val="23"/>
          <w:szCs w:val="23"/>
        </w:rPr>
        <w:t>the</w:t>
      </w:r>
      <w:r w:rsidR="00BE27CC">
        <w:rPr>
          <w:sz w:val="23"/>
          <w:szCs w:val="23"/>
        </w:rPr>
        <w:t>y argue the</w:t>
      </w:r>
      <w:r w:rsidR="00966B81">
        <w:rPr>
          <w:sz w:val="23"/>
          <w:szCs w:val="23"/>
        </w:rPr>
        <w:t xml:space="preserve"> agreement should be interpreted to allow Grievants to </w:t>
      </w:r>
      <w:r w:rsidR="00D11ECA">
        <w:rPr>
          <w:sz w:val="23"/>
          <w:szCs w:val="23"/>
        </w:rPr>
        <w:t>receive hazard pay anytime they work with asbestos.</w:t>
      </w:r>
    </w:p>
    <w:p w:rsidR="007E4098" w:rsidRDefault="007E4098" w:rsidP="009E21E4">
      <w:pPr>
        <w:jc w:val="both"/>
        <w:rPr>
          <w:sz w:val="23"/>
          <w:szCs w:val="23"/>
        </w:rPr>
      </w:pPr>
    </w:p>
    <w:p w:rsidR="00A536EB" w:rsidRPr="00A536EB" w:rsidRDefault="00F56C24" w:rsidP="00900430">
      <w:pPr>
        <w:jc w:val="both"/>
        <w:rPr>
          <w:sz w:val="23"/>
          <w:szCs w:val="23"/>
        </w:rPr>
      </w:pPr>
      <w:r w:rsidRPr="00A536EB">
        <w:rPr>
          <w:sz w:val="23"/>
          <w:szCs w:val="23"/>
        </w:rPr>
        <w:t xml:space="preserve">The Arbitrator </w:t>
      </w:r>
      <w:r w:rsidR="00D11ECA">
        <w:rPr>
          <w:sz w:val="23"/>
          <w:szCs w:val="23"/>
        </w:rPr>
        <w:t xml:space="preserve">concluded that </w:t>
      </w:r>
      <w:r w:rsidR="00966B81">
        <w:rPr>
          <w:sz w:val="23"/>
          <w:szCs w:val="23"/>
        </w:rPr>
        <w:t xml:space="preserve">the </w:t>
      </w:r>
      <w:r w:rsidR="00D11ECA">
        <w:rPr>
          <w:sz w:val="23"/>
          <w:szCs w:val="23"/>
        </w:rPr>
        <w:t xml:space="preserve">hazard pay only ran with the abatement of the heating tunnels </w:t>
      </w:r>
      <w:r w:rsidR="00BE27CC">
        <w:rPr>
          <w:sz w:val="23"/>
          <w:szCs w:val="23"/>
        </w:rPr>
        <w:t xml:space="preserve">even though there was no </w:t>
      </w:r>
      <w:r w:rsidR="00D11ECA">
        <w:rPr>
          <w:sz w:val="23"/>
          <w:szCs w:val="23"/>
        </w:rPr>
        <w:t xml:space="preserve">language providing a specific end date. </w:t>
      </w:r>
      <w:r w:rsidR="00BE27CC">
        <w:rPr>
          <w:sz w:val="23"/>
          <w:szCs w:val="23"/>
        </w:rPr>
        <w:t>T</w:t>
      </w:r>
      <w:r w:rsidR="00D11ECA">
        <w:rPr>
          <w:sz w:val="23"/>
          <w:szCs w:val="23"/>
        </w:rPr>
        <w:t>he original grievance alluded to the fact th</w:t>
      </w:r>
      <w:r w:rsidR="00BE27CC">
        <w:rPr>
          <w:sz w:val="23"/>
          <w:szCs w:val="23"/>
        </w:rPr>
        <w:t>at th</w:t>
      </w:r>
      <w:r w:rsidR="00D11ECA">
        <w:rPr>
          <w:sz w:val="23"/>
          <w:szCs w:val="23"/>
        </w:rPr>
        <w:t>e hazard pay might</w:t>
      </w:r>
      <w:r w:rsidR="00BE27CC">
        <w:rPr>
          <w:sz w:val="23"/>
          <w:szCs w:val="23"/>
        </w:rPr>
        <w:t xml:space="preserve"> be discontinued and</w:t>
      </w:r>
      <w:r w:rsidR="00D11ECA">
        <w:rPr>
          <w:sz w:val="23"/>
          <w:szCs w:val="23"/>
        </w:rPr>
        <w:t xml:space="preserve"> Bobby Johnson</w:t>
      </w:r>
      <w:r w:rsidR="00BE27CC">
        <w:rPr>
          <w:sz w:val="23"/>
          <w:szCs w:val="23"/>
        </w:rPr>
        <w:t>’s testimony</w:t>
      </w:r>
      <w:r w:rsidR="00D11ECA">
        <w:rPr>
          <w:sz w:val="23"/>
          <w:szCs w:val="23"/>
        </w:rPr>
        <w:t xml:space="preserve"> </w:t>
      </w:r>
      <w:r w:rsidR="00BE27CC">
        <w:rPr>
          <w:sz w:val="23"/>
          <w:szCs w:val="23"/>
        </w:rPr>
        <w:t xml:space="preserve">also </w:t>
      </w:r>
      <w:r w:rsidR="00D11ECA">
        <w:rPr>
          <w:sz w:val="23"/>
          <w:szCs w:val="23"/>
        </w:rPr>
        <w:t>supported th</w:t>
      </w:r>
      <w:r w:rsidR="00BE27CC">
        <w:rPr>
          <w:sz w:val="23"/>
          <w:szCs w:val="23"/>
        </w:rPr>
        <w:t>is</w:t>
      </w:r>
      <w:r w:rsidR="00D11ECA">
        <w:rPr>
          <w:sz w:val="23"/>
          <w:szCs w:val="23"/>
        </w:rPr>
        <w:t xml:space="preserve"> contention t</w:t>
      </w:r>
      <w:r w:rsidR="00BE27CC">
        <w:rPr>
          <w:sz w:val="23"/>
          <w:szCs w:val="23"/>
        </w:rPr>
        <w:t>hat t</w:t>
      </w:r>
      <w:r w:rsidR="00D11ECA">
        <w:rPr>
          <w:sz w:val="23"/>
          <w:szCs w:val="23"/>
        </w:rPr>
        <w:t>he hazard pay was limited to Grievants’ work in the tunnels while it w</w:t>
      </w:r>
      <w:r w:rsidR="00966B81">
        <w:rPr>
          <w:sz w:val="23"/>
          <w:szCs w:val="23"/>
        </w:rPr>
        <w:t xml:space="preserve">as an asbestos containment area. Further, </w:t>
      </w:r>
      <w:r w:rsidR="00D11ECA">
        <w:rPr>
          <w:sz w:val="23"/>
          <w:szCs w:val="23"/>
        </w:rPr>
        <w:t>there was no proof th</w:t>
      </w:r>
      <w:r w:rsidR="00BE27CC">
        <w:rPr>
          <w:sz w:val="23"/>
          <w:szCs w:val="23"/>
        </w:rPr>
        <w:t>at th</w:t>
      </w:r>
      <w:r w:rsidR="00D11ECA">
        <w:rPr>
          <w:sz w:val="23"/>
          <w:szCs w:val="23"/>
        </w:rPr>
        <w:t>e settlement agreement was intended to provide an</w:t>
      </w:r>
      <w:r w:rsidR="00966B81">
        <w:rPr>
          <w:sz w:val="23"/>
          <w:szCs w:val="23"/>
        </w:rPr>
        <w:t xml:space="preserve"> ongoing and indefinite benefit</w:t>
      </w:r>
      <w:r w:rsidR="00BE27CC">
        <w:rPr>
          <w:sz w:val="23"/>
          <w:szCs w:val="23"/>
        </w:rPr>
        <w:t>. Therefore,</w:t>
      </w:r>
      <w:bookmarkStart w:id="0" w:name="_GoBack"/>
      <w:bookmarkEnd w:id="0"/>
      <w:r w:rsidR="00966B81">
        <w:rPr>
          <w:sz w:val="23"/>
          <w:szCs w:val="23"/>
        </w:rPr>
        <w:t xml:space="preserve"> the </w:t>
      </w:r>
      <w:r w:rsidR="00D11ECA">
        <w:rPr>
          <w:sz w:val="23"/>
          <w:szCs w:val="23"/>
        </w:rPr>
        <w:t xml:space="preserve">grievance </w:t>
      </w:r>
      <w:r w:rsidR="00966B81">
        <w:rPr>
          <w:sz w:val="23"/>
          <w:szCs w:val="23"/>
        </w:rPr>
        <w:t xml:space="preserve">must be </w:t>
      </w:r>
      <w:r w:rsidR="00D11ECA">
        <w:rPr>
          <w:sz w:val="23"/>
          <w:szCs w:val="23"/>
        </w:rPr>
        <w:t xml:space="preserve">denied. </w:t>
      </w:r>
    </w:p>
    <w:sectPr w:rsidR="00A536EB" w:rsidRPr="00A536EB"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F16D8"/>
    <w:rsid w:val="00101653"/>
    <w:rsid w:val="00114C19"/>
    <w:rsid w:val="00145EB4"/>
    <w:rsid w:val="00150B77"/>
    <w:rsid w:val="00183B43"/>
    <w:rsid w:val="00194A0E"/>
    <w:rsid w:val="001A6F4C"/>
    <w:rsid w:val="001B2811"/>
    <w:rsid w:val="001B2FE2"/>
    <w:rsid w:val="002056BF"/>
    <w:rsid w:val="002154BC"/>
    <w:rsid w:val="00240EA9"/>
    <w:rsid w:val="00252C63"/>
    <w:rsid w:val="002920F5"/>
    <w:rsid w:val="002D51B2"/>
    <w:rsid w:val="00311C7E"/>
    <w:rsid w:val="003441C4"/>
    <w:rsid w:val="00352EDD"/>
    <w:rsid w:val="00364B87"/>
    <w:rsid w:val="00384E3E"/>
    <w:rsid w:val="003A0F61"/>
    <w:rsid w:val="003E4554"/>
    <w:rsid w:val="00400993"/>
    <w:rsid w:val="004265A5"/>
    <w:rsid w:val="0043333B"/>
    <w:rsid w:val="004736E8"/>
    <w:rsid w:val="004B064E"/>
    <w:rsid w:val="004D25C5"/>
    <w:rsid w:val="004E771A"/>
    <w:rsid w:val="00504424"/>
    <w:rsid w:val="00506E73"/>
    <w:rsid w:val="005141E9"/>
    <w:rsid w:val="0053358E"/>
    <w:rsid w:val="00542CDA"/>
    <w:rsid w:val="005A5E5C"/>
    <w:rsid w:val="005C27B8"/>
    <w:rsid w:val="005F7D6E"/>
    <w:rsid w:val="00601CAD"/>
    <w:rsid w:val="00617BDA"/>
    <w:rsid w:val="00624565"/>
    <w:rsid w:val="006274BC"/>
    <w:rsid w:val="00641968"/>
    <w:rsid w:val="00646AFD"/>
    <w:rsid w:val="00675D06"/>
    <w:rsid w:val="006D084B"/>
    <w:rsid w:val="006D385F"/>
    <w:rsid w:val="006E499A"/>
    <w:rsid w:val="006F58E1"/>
    <w:rsid w:val="00711929"/>
    <w:rsid w:val="0073294E"/>
    <w:rsid w:val="00732C9C"/>
    <w:rsid w:val="00743908"/>
    <w:rsid w:val="00755580"/>
    <w:rsid w:val="00786891"/>
    <w:rsid w:val="007A6EC2"/>
    <w:rsid w:val="007B47AD"/>
    <w:rsid w:val="007C2CE2"/>
    <w:rsid w:val="007D54D2"/>
    <w:rsid w:val="007E0EFE"/>
    <w:rsid w:val="007E4098"/>
    <w:rsid w:val="007F548D"/>
    <w:rsid w:val="00801333"/>
    <w:rsid w:val="008359CF"/>
    <w:rsid w:val="008540ED"/>
    <w:rsid w:val="00874237"/>
    <w:rsid w:val="00896348"/>
    <w:rsid w:val="008A2EC0"/>
    <w:rsid w:val="00900430"/>
    <w:rsid w:val="00913DD9"/>
    <w:rsid w:val="00922787"/>
    <w:rsid w:val="00922AB8"/>
    <w:rsid w:val="009459B1"/>
    <w:rsid w:val="00966B81"/>
    <w:rsid w:val="00973E8D"/>
    <w:rsid w:val="00975184"/>
    <w:rsid w:val="009A3C1C"/>
    <w:rsid w:val="009A7446"/>
    <w:rsid w:val="009B2757"/>
    <w:rsid w:val="009C015E"/>
    <w:rsid w:val="009D5316"/>
    <w:rsid w:val="009E21E4"/>
    <w:rsid w:val="009F5999"/>
    <w:rsid w:val="009F66FE"/>
    <w:rsid w:val="00A002E0"/>
    <w:rsid w:val="00A03DCD"/>
    <w:rsid w:val="00A30A04"/>
    <w:rsid w:val="00A4574F"/>
    <w:rsid w:val="00A536EB"/>
    <w:rsid w:val="00AE04C2"/>
    <w:rsid w:val="00AE2F2B"/>
    <w:rsid w:val="00B532C4"/>
    <w:rsid w:val="00B77AF4"/>
    <w:rsid w:val="00B80E97"/>
    <w:rsid w:val="00B860DF"/>
    <w:rsid w:val="00B872CE"/>
    <w:rsid w:val="00B9364E"/>
    <w:rsid w:val="00BA3DC3"/>
    <w:rsid w:val="00BB6D9F"/>
    <w:rsid w:val="00BE27CC"/>
    <w:rsid w:val="00BE5B4C"/>
    <w:rsid w:val="00C01A30"/>
    <w:rsid w:val="00C24833"/>
    <w:rsid w:val="00C355CA"/>
    <w:rsid w:val="00C53503"/>
    <w:rsid w:val="00C61A8C"/>
    <w:rsid w:val="00C848E3"/>
    <w:rsid w:val="00C87111"/>
    <w:rsid w:val="00CA346A"/>
    <w:rsid w:val="00CA66B3"/>
    <w:rsid w:val="00CE4417"/>
    <w:rsid w:val="00CF3087"/>
    <w:rsid w:val="00D01E4F"/>
    <w:rsid w:val="00D11ECA"/>
    <w:rsid w:val="00D14075"/>
    <w:rsid w:val="00D54355"/>
    <w:rsid w:val="00DA09B7"/>
    <w:rsid w:val="00DA48BF"/>
    <w:rsid w:val="00DB5E70"/>
    <w:rsid w:val="00E01FC6"/>
    <w:rsid w:val="00E103C7"/>
    <w:rsid w:val="00E2703B"/>
    <w:rsid w:val="00E33E99"/>
    <w:rsid w:val="00E71F19"/>
    <w:rsid w:val="00EA0993"/>
    <w:rsid w:val="00EE04EB"/>
    <w:rsid w:val="00F4317E"/>
    <w:rsid w:val="00F545E1"/>
    <w:rsid w:val="00F56C24"/>
    <w:rsid w:val="00F75695"/>
    <w:rsid w:val="00F76261"/>
    <w:rsid w:val="00FA76C1"/>
    <w:rsid w:val="00FB1DE4"/>
    <w:rsid w:val="00FC2785"/>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520</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Cullen J. Jackson</cp:lastModifiedBy>
  <cp:revision>5</cp:revision>
  <cp:lastPrinted>2012-06-29T14:13:00Z</cp:lastPrinted>
  <dcterms:created xsi:type="dcterms:W3CDTF">2012-06-29T13:01:00Z</dcterms:created>
  <dcterms:modified xsi:type="dcterms:W3CDTF">2012-06-29T14:33:00Z</dcterms:modified>
</cp:coreProperties>
</file>