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C9C" w:rsidRPr="00A536EB" w:rsidRDefault="00732C9C" w:rsidP="00732C9C">
      <w:pPr>
        <w:jc w:val="center"/>
        <w:rPr>
          <w:b/>
          <w:sz w:val="23"/>
          <w:szCs w:val="23"/>
          <w:u w:val="single"/>
        </w:rPr>
      </w:pPr>
      <w:r w:rsidRPr="00A536EB">
        <w:rPr>
          <w:b/>
          <w:sz w:val="23"/>
          <w:szCs w:val="23"/>
          <w:u w:val="single"/>
        </w:rPr>
        <w:t xml:space="preserve">OCB AWARD NUMBER: </w:t>
      </w:r>
      <w:r w:rsidR="00801333" w:rsidRPr="00A536EB">
        <w:rPr>
          <w:b/>
          <w:sz w:val="23"/>
          <w:szCs w:val="23"/>
          <w:u w:val="single"/>
        </w:rPr>
        <w:t>216</w:t>
      </w:r>
      <w:r w:rsidR="007F548D" w:rsidRPr="00A536EB">
        <w:rPr>
          <w:b/>
          <w:sz w:val="23"/>
          <w:szCs w:val="23"/>
          <w:u w:val="single"/>
        </w:rPr>
        <w:t>8</w:t>
      </w:r>
    </w:p>
    <w:p w:rsidR="00732C9C" w:rsidRPr="00A536EB" w:rsidRDefault="00732C9C" w:rsidP="00732C9C">
      <w:pPr>
        <w:jc w:val="center"/>
        <w:rPr>
          <w:sz w:val="23"/>
          <w:szCs w:val="23"/>
        </w:rPr>
      </w:pPr>
    </w:p>
    <w:tbl>
      <w:tblPr>
        <w:tblW w:w="10548" w:type="dxa"/>
        <w:tblLayout w:type="fixed"/>
        <w:tblLook w:val="0000" w:firstRow="0" w:lastRow="0" w:firstColumn="0" w:lastColumn="0" w:noHBand="0" w:noVBand="0"/>
      </w:tblPr>
      <w:tblGrid>
        <w:gridCol w:w="3203"/>
        <w:gridCol w:w="749"/>
        <w:gridCol w:w="6561"/>
        <w:gridCol w:w="35"/>
      </w:tblGrid>
      <w:tr w:rsidR="00732C9C" w:rsidRPr="00A536EB" w:rsidTr="00024D63">
        <w:trPr>
          <w:trHeight w:val="244"/>
        </w:trPr>
        <w:tc>
          <w:tcPr>
            <w:tcW w:w="3203" w:type="dxa"/>
          </w:tcPr>
          <w:p w:rsidR="00732C9C" w:rsidRPr="00786891" w:rsidRDefault="00732C9C" w:rsidP="00732C9C">
            <w:pPr>
              <w:rPr>
                <w:sz w:val="21"/>
                <w:szCs w:val="21"/>
              </w:rPr>
            </w:pPr>
            <w:r w:rsidRPr="00786891">
              <w:rPr>
                <w:b/>
                <w:sz w:val="21"/>
                <w:szCs w:val="21"/>
              </w:rPr>
              <w:t>SUBJECT:</w:t>
            </w:r>
          </w:p>
        </w:tc>
        <w:tc>
          <w:tcPr>
            <w:tcW w:w="7345" w:type="dxa"/>
            <w:gridSpan w:val="3"/>
          </w:tcPr>
          <w:p w:rsidR="00732C9C" w:rsidRPr="00786891" w:rsidRDefault="00732C9C" w:rsidP="007F548D">
            <w:pPr>
              <w:rPr>
                <w:sz w:val="21"/>
                <w:szCs w:val="21"/>
              </w:rPr>
            </w:pPr>
            <w:r w:rsidRPr="00786891">
              <w:rPr>
                <w:b/>
                <w:sz w:val="21"/>
                <w:szCs w:val="21"/>
              </w:rPr>
              <w:t xml:space="preserve">ARB SUMMARY #  </w:t>
            </w:r>
            <w:r w:rsidR="002056BF" w:rsidRPr="00786891">
              <w:rPr>
                <w:b/>
                <w:sz w:val="21"/>
                <w:szCs w:val="21"/>
              </w:rPr>
              <w:t>21</w:t>
            </w:r>
            <w:r w:rsidR="00D54355" w:rsidRPr="00786891">
              <w:rPr>
                <w:b/>
                <w:sz w:val="21"/>
                <w:szCs w:val="21"/>
              </w:rPr>
              <w:t>6</w:t>
            </w:r>
            <w:r w:rsidR="007F548D" w:rsidRPr="00786891">
              <w:rPr>
                <w:b/>
                <w:sz w:val="21"/>
                <w:szCs w:val="21"/>
              </w:rPr>
              <w:t>8</w:t>
            </w:r>
          </w:p>
        </w:tc>
      </w:tr>
      <w:tr w:rsidR="00732C9C" w:rsidRPr="00A536EB" w:rsidTr="00024D63">
        <w:trPr>
          <w:trHeight w:val="244"/>
        </w:trPr>
        <w:tc>
          <w:tcPr>
            <w:tcW w:w="3203" w:type="dxa"/>
          </w:tcPr>
          <w:p w:rsidR="00732C9C" w:rsidRPr="00786891" w:rsidRDefault="00732C9C" w:rsidP="00732C9C">
            <w:pPr>
              <w:rPr>
                <w:b/>
                <w:sz w:val="21"/>
                <w:szCs w:val="21"/>
              </w:rPr>
            </w:pPr>
            <w:r w:rsidRPr="00786891">
              <w:rPr>
                <w:b/>
                <w:sz w:val="21"/>
                <w:szCs w:val="21"/>
              </w:rPr>
              <w:t>TO:</w:t>
            </w:r>
          </w:p>
        </w:tc>
        <w:tc>
          <w:tcPr>
            <w:tcW w:w="7345" w:type="dxa"/>
            <w:gridSpan w:val="3"/>
          </w:tcPr>
          <w:p w:rsidR="00732C9C" w:rsidRPr="00786891" w:rsidRDefault="00732C9C" w:rsidP="00732C9C">
            <w:pPr>
              <w:rPr>
                <w:b/>
                <w:sz w:val="21"/>
                <w:szCs w:val="21"/>
              </w:rPr>
            </w:pPr>
            <w:r w:rsidRPr="00786891">
              <w:rPr>
                <w:b/>
                <w:sz w:val="21"/>
                <w:szCs w:val="21"/>
              </w:rPr>
              <w:t>ALL ADVOCATES</w:t>
            </w:r>
          </w:p>
        </w:tc>
      </w:tr>
      <w:tr w:rsidR="00732C9C" w:rsidRPr="00A536EB" w:rsidTr="00024D63">
        <w:trPr>
          <w:trHeight w:val="231"/>
        </w:trPr>
        <w:tc>
          <w:tcPr>
            <w:tcW w:w="3203" w:type="dxa"/>
          </w:tcPr>
          <w:p w:rsidR="00732C9C" w:rsidRPr="00786891" w:rsidRDefault="00732C9C" w:rsidP="00732C9C">
            <w:pPr>
              <w:rPr>
                <w:b/>
                <w:sz w:val="21"/>
                <w:szCs w:val="21"/>
              </w:rPr>
            </w:pPr>
            <w:r w:rsidRPr="00786891">
              <w:rPr>
                <w:b/>
                <w:sz w:val="21"/>
                <w:szCs w:val="21"/>
              </w:rPr>
              <w:t>FROM:</w:t>
            </w:r>
          </w:p>
        </w:tc>
        <w:tc>
          <w:tcPr>
            <w:tcW w:w="7345" w:type="dxa"/>
            <w:gridSpan w:val="3"/>
          </w:tcPr>
          <w:p w:rsidR="00732C9C" w:rsidRPr="00786891" w:rsidRDefault="00675D06" w:rsidP="00732C9C">
            <w:pPr>
              <w:rPr>
                <w:b/>
                <w:sz w:val="21"/>
                <w:szCs w:val="21"/>
              </w:rPr>
            </w:pPr>
            <w:r w:rsidRPr="00786891">
              <w:rPr>
                <w:b/>
                <w:sz w:val="21"/>
                <w:szCs w:val="21"/>
              </w:rPr>
              <w:t>DAVID LONG</w:t>
            </w:r>
          </w:p>
        </w:tc>
      </w:tr>
      <w:tr w:rsidR="00732C9C" w:rsidRPr="00A536EB" w:rsidTr="00024D63">
        <w:trPr>
          <w:trHeight w:val="244"/>
        </w:trPr>
        <w:tc>
          <w:tcPr>
            <w:tcW w:w="3203" w:type="dxa"/>
          </w:tcPr>
          <w:p w:rsidR="00732C9C" w:rsidRPr="00786891" w:rsidRDefault="00732C9C" w:rsidP="00732C9C">
            <w:pPr>
              <w:rPr>
                <w:b/>
                <w:sz w:val="21"/>
                <w:szCs w:val="21"/>
              </w:rPr>
            </w:pPr>
            <w:r w:rsidRPr="00786891">
              <w:rPr>
                <w:b/>
                <w:sz w:val="21"/>
                <w:szCs w:val="21"/>
              </w:rPr>
              <w:t>OCB GRIEVANCE NUMBER:</w:t>
            </w:r>
          </w:p>
        </w:tc>
        <w:tc>
          <w:tcPr>
            <w:tcW w:w="7345" w:type="dxa"/>
            <w:gridSpan w:val="3"/>
          </w:tcPr>
          <w:p w:rsidR="00732C9C" w:rsidRPr="00786891" w:rsidRDefault="007F548D" w:rsidP="00732C9C">
            <w:pPr>
              <w:rPr>
                <w:b/>
                <w:sz w:val="21"/>
                <w:szCs w:val="21"/>
              </w:rPr>
            </w:pPr>
            <w:r w:rsidRPr="00786891">
              <w:rPr>
                <w:b/>
                <w:sz w:val="21"/>
                <w:szCs w:val="21"/>
              </w:rPr>
              <w:t>15-03-20111223-0132-07-15</w:t>
            </w:r>
          </w:p>
        </w:tc>
      </w:tr>
      <w:tr w:rsidR="00732C9C" w:rsidRPr="00A536EB" w:rsidTr="00024D63">
        <w:trPr>
          <w:trHeight w:val="231"/>
        </w:trPr>
        <w:tc>
          <w:tcPr>
            <w:tcW w:w="3203" w:type="dxa"/>
          </w:tcPr>
          <w:p w:rsidR="00732C9C" w:rsidRPr="00786891" w:rsidRDefault="00732C9C" w:rsidP="00732C9C">
            <w:pPr>
              <w:rPr>
                <w:b/>
                <w:sz w:val="21"/>
                <w:szCs w:val="21"/>
              </w:rPr>
            </w:pPr>
            <w:r w:rsidRPr="00786891">
              <w:rPr>
                <w:b/>
                <w:sz w:val="21"/>
                <w:szCs w:val="21"/>
              </w:rPr>
              <w:t>DEPARTMENT:</w:t>
            </w:r>
          </w:p>
        </w:tc>
        <w:tc>
          <w:tcPr>
            <w:tcW w:w="7345" w:type="dxa"/>
            <w:gridSpan w:val="3"/>
          </w:tcPr>
          <w:p w:rsidR="00732C9C" w:rsidRPr="00786891" w:rsidRDefault="007F548D" w:rsidP="00732C9C">
            <w:pPr>
              <w:ind w:left="432" w:hanging="432"/>
              <w:rPr>
                <w:sz w:val="21"/>
                <w:szCs w:val="21"/>
              </w:rPr>
            </w:pPr>
            <w:r w:rsidRPr="00786891">
              <w:rPr>
                <w:sz w:val="21"/>
                <w:szCs w:val="21"/>
              </w:rPr>
              <w:t>Division of the Ohio State Patrol</w:t>
            </w:r>
          </w:p>
        </w:tc>
      </w:tr>
      <w:tr w:rsidR="00732C9C" w:rsidRPr="00A536EB" w:rsidTr="00024D63">
        <w:trPr>
          <w:trHeight w:val="244"/>
        </w:trPr>
        <w:tc>
          <w:tcPr>
            <w:tcW w:w="3203" w:type="dxa"/>
          </w:tcPr>
          <w:p w:rsidR="00732C9C" w:rsidRPr="00786891" w:rsidRDefault="00732C9C" w:rsidP="00732C9C">
            <w:pPr>
              <w:rPr>
                <w:b/>
                <w:sz w:val="21"/>
                <w:szCs w:val="21"/>
              </w:rPr>
            </w:pPr>
            <w:r w:rsidRPr="00786891">
              <w:rPr>
                <w:b/>
                <w:sz w:val="21"/>
                <w:szCs w:val="21"/>
              </w:rPr>
              <w:t>UNION:</w:t>
            </w:r>
          </w:p>
        </w:tc>
        <w:tc>
          <w:tcPr>
            <w:tcW w:w="7345" w:type="dxa"/>
            <w:gridSpan w:val="3"/>
          </w:tcPr>
          <w:p w:rsidR="00732C9C" w:rsidRPr="00786891" w:rsidRDefault="007F548D" w:rsidP="00732C9C">
            <w:pPr>
              <w:ind w:left="432" w:hanging="432"/>
              <w:rPr>
                <w:sz w:val="21"/>
                <w:szCs w:val="21"/>
              </w:rPr>
            </w:pPr>
            <w:r w:rsidRPr="00786891">
              <w:rPr>
                <w:sz w:val="21"/>
                <w:szCs w:val="21"/>
              </w:rPr>
              <w:t>OSTA</w:t>
            </w:r>
          </w:p>
        </w:tc>
      </w:tr>
      <w:tr w:rsidR="00732C9C" w:rsidRPr="00A536EB" w:rsidTr="00024D63">
        <w:trPr>
          <w:trHeight w:val="244"/>
        </w:trPr>
        <w:tc>
          <w:tcPr>
            <w:tcW w:w="3203" w:type="dxa"/>
          </w:tcPr>
          <w:p w:rsidR="00732C9C" w:rsidRPr="00786891" w:rsidRDefault="00732C9C" w:rsidP="00732C9C">
            <w:pPr>
              <w:rPr>
                <w:b/>
                <w:sz w:val="21"/>
                <w:szCs w:val="21"/>
              </w:rPr>
            </w:pPr>
            <w:r w:rsidRPr="00786891">
              <w:rPr>
                <w:b/>
                <w:sz w:val="21"/>
                <w:szCs w:val="21"/>
              </w:rPr>
              <w:t>ARBITRATOR:</w:t>
            </w:r>
          </w:p>
        </w:tc>
        <w:tc>
          <w:tcPr>
            <w:tcW w:w="7345" w:type="dxa"/>
            <w:gridSpan w:val="3"/>
          </w:tcPr>
          <w:p w:rsidR="00732C9C" w:rsidRPr="00786891" w:rsidRDefault="007F548D" w:rsidP="00732C9C">
            <w:pPr>
              <w:ind w:left="432" w:hanging="432"/>
              <w:rPr>
                <w:sz w:val="21"/>
                <w:szCs w:val="21"/>
              </w:rPr>
            </w:pPr>
            <w:r w:rsidRPr="00786891">
              <w:rPr>
                <w:sz w:val="21"/>
                <w:szCs w:val="21"/>
              </w:rPr>
              <w:t xml:space="preserve">Susan </w:t>
            </w:r>
            <w:proofErr w:type="spellStart"/>
            <w:r w:rsidRPr="00786891">
              <w:rPr>
                <w:sz w:val="21"/>
                <w:szCs w:val="21"/>
              </w:rPr>
              <w:t>Grody</w:t>
            </w:r>
            <w:proofErr w:type="spellEnd"/>
            <w:r w:rsidRPr="00786891">
              <w:rPr>
                <w:sz w:val="21"/>
                <w:szCs w:val="21"/>
              </w:rPr>
              <w:t xml:space="preserve"> Ruben</w:t>
            </w:r>
          </w:p>
        </w:tc>
      </w:tr>
      <w:tr w:rsidR="00732C9C" w:rsidRPr="00A536EB" w:rsidTr="00024D63">
        <w:trPr>
          <w:trHeight w:val="231"/>
        </w:trPr>
        <w:tc>
          <w:tcPr>
            <w:tcW w:w="3203" w:type="dxa"/>
          </w:tcPr>
          <w:p w:rsidR="00732C9C" w:rsidRPr="00786891" w:rsidRDefault="00732C9C" w:rsidP="00732C9C">
            <w:pPr>
              <w:rPr>
                <w:b/>
                <w:sz w:val="21"/>
                <w:szCs w:val="21"/>
              </w:rPr>
            </w:pPr>
            <w:r w:rsidRPr="00786891">
              <w:rPr>
                <w:b/>
                <w:sz w:val="21"/>
                <w:szCs w:val="21"/>
              </w:rPr>
              <w:t>GRIEVANT NAME:</w:t>
            </w:r>
          </w:p>
        </w:tc>
        <w:tc>
          <w:tcPr>
            <w:tcW w:w="7345" w:type="dxa"/>
            <w:gridSpan w:val="3"/>
          </w:tcPr>
          <w:p w:rsidR="00732C9C" w:rsidRPr="00786891" w:rsidRDefault="007F548D" w:rsidP="00732C9C">
            <w:pPr>
              <w:ind w:left="432" w:hanging="432"/>
              <w:rPr>
                <w:sz w:val="21"/>
                <w:szCs w:val="21"/>
              </w:rPr>
            </w:pPr>
            <w:r w:rsidRPr="00786891">
              <w:rPr>
                <w:sz w:val="21"/>
                <w:szCs w:val="21"/>
              </w:rPr>
              <w:t xml:space="preserve">Jeffrey </w:t>
            </w:r>
            <w:proofErr w:type="spellStart"/>
            <w:r w:rsidRPr="00786891">
              <w:rPr>
                <w:sz w:val="21"/>
                <w:szCs w:val="21"/>
              </w:rPr>
              <w:t>Hauenstein</w:t>
            </w:r>
            <w:proofErr w:type="spellEnd"/>
          </w:p>
        </w:tc>
      </w:tr>
      <w:tr w:rsidR="00732C9C" w:rsidRPr="00A536EB" w:rsidTr="00024D63">
        <w:trPr>
          <w:trHeight w:val="244"/>
        </w:trPr>
        <w:tc>
          <w:tcPr>
            <w:tcW w:w="3203" w:type="dxa"/>
          </w:tcPr>
          <w:p w:rsidR="00732C9C" w:rsidRPr="00786891" w:rsidRDefault="00732C9C" w:rsidP="00732C9C">
            <w:pPr>
              <w:rPr>
                <w:b/>
                <w:sz w:val="21"/>
                <w:szCs w:val="21"/>
              </w:rPr>
            </w:pPr>
            <w:r w:rsidRPr="00786891">
              <w:rPr>
                <w:b/>
                <w:sz w:val="21"/>
                <w:szCs w:val="21"/>
              </w:rPr>
              <w:t>MANAGEMENT ADVOCATE:</w:t>
            </w:r>
          </w:p>
        </w:tc>
        <w:tc>
          <w:tcPr>
            <w:tcW w:w="7345" w:type="dxa"/>
            <w:gridSpan w:val="3"/>
          </w:tcPr>
          <w:p w:rsidR="00732C9C" w:rsidRPr="00786891" w:rsidRDefault="007F548D" w:rsidP="00732C9C">
            <w:pPr>
              <w:ind w:left="432" w:hanging="432"/>
              <w:rPr>
                <w:sz w:val="21"/>
                <w:szCs w:val="21"/>
              </w:rPr>
            </w:pPr>
            <w:r w:rsidRPr="00786891">
              <w:rPr>
                <w:sz w:val="21"/>
                <w:szCs w:val="21"/>
              </w:rPr>
              <w:t xml:space="preserve">Charles </w:t>
            </w:r>
            <w:proofErr w:type="spellStart"/>
            <w:r w:rsidRPr="00786891">
              <w:rPr>
                <w:sz w:val="21"/>
                <w:szCs w:val="21"/>
              </w:rPr>
              <w:t>Linek</w:t>
            </w:r>
            <w:proofErr w:type="spellEnd"/>
          </w:p>
        </w:tc>
      </w:tr>
      <w:tr w:rsidR="00732C9C" w:rsidRPr="00A536EB" w:rsidTr="00024D63">
        <w:trPr>
          <w:trHeight w:val="244"/>
        </w:trPr>
        <w:tc>
          <w:tcPr>
            <w:tcW w:w="3203" w:type="dxa"/>
          </w:tcPr>
          <w:p w:rsidR="00732C9C" w:rsidRPr="00786891" w:rsidRDefault="00732C9C" w:rsidP="00732C9C">
            <w:pPr>
              <w:rPr>
                <w:b/>
                <w:sz w:val="21"/>
                <w:szCs w:val="21"/>
              </w:rPr>
            </w:pPr>
            <w:r w:rsidRPr="00786891">
              <w:rPr>
                <w:b/>
                <w:sz w:val="21"/>
                <w:szCs w:val="21"/>
              </w:rPr>
              <w:t>2ND CHAIR:</w:t>
            </w:r>
          </w:p>
        </w:tc>
        <w:tc>
          <w:tcPr>
            <w:tcW w:w="7345" w:type="dxa"/>
            <w:gridSpan w:val="3"/>
          </w:tcPr>
          <w:p w:rsidR="00732C9C" w:rsidRPr="00786891" w:rsidRDefault="00B77AF4" w:rsidP="00732C9C">
            <w:pPr>
              <w:ind w:left="432" w:hanging="432"/>
              <w:rPr>
                <w:sz w:val="21"/>
                <w:szCs w:val="21"/>
              </w:rPr>
            </w:pPr>
            <w:r w:rsidRPr="00786891">
              <w:rPr>
                <w:sz w:val="21"/>
                <w:szCs w:val="21"/>
              </w:rPr>
              <w:t>Marissa Walter</w:t>
            </w:r>
          </w:p>
        </w:tc>
      </w:tr>
      <w:tr w:rsidR="00732C9C" w:rsidRPr="00A536EB" w:rsidTr="00024D63">
        <w:trPr>
          <w:trHeight w:val="231"/>
        </w:trPr>
        <w:tc>
          <w:tcPr>
            <w:tcW w:w="3203" w:type="dxa"/>
          </w:tcPr>
          <w:p w:rsidR="00732C9C" w:rsidRPr="00786891" w:rsidRDefault="00732C9C" w:rsidP="00732C9C">
            <w:pPr>
              <w:rPr>
                <w:b/>
                <w:sz w:val="21"/>
                <w:szCs w:val="21"/>
              </w:rPr>
            </w:pPr>
            <w:r w:rsidRPr="00786891">
              <w:rPr>
                <w:b/>
                <w:sz w:val="21"/>
                <w:szCs w:val="21"/>
              </w:rPr>
              <w:t>UNION ADVOCATE:</w:t>
            </w:r>
          </w:p>
        </w:tc>
        <w:tc>
          <w:tcPr>
            <w:tcW w:w="7345" w:type="dxa"/>
            <w:gridSpan w:val="3"/>
          </w:tcPr>
          <w:p w:rsidR="00732C9C" w:rsidRPr="00786891" w:rsidRDefault="00C87111" w:rsidP="00732C9C">
            <w:pPr>
              <w:ind w:left="432" w:hanging="432"/>
              <w:rPr>
                <w:sz w:val="21"/>
                <w:szCs w:val="21"/>
              </w:rPr>
            </w:pPr>
            <w:r w:rsidRPr="00786891">
              <w:rPr>
                <w:sz w:val="21"/>
                <w:szCs w:val="21"/>
              </w:rPr>
              <w:t xml:space="preserve">Herschel </w:t>
            </w:r>
            <w:proofErr w:type="spellStart"/>
            <w:r w:rsidRPr="00786891">
              <w:rPr>
                <w:sz w:val="21"/>
                <w:szCs w:val="21"/>
              </w:rPr>
              <w:t>Sigall</w:t>
            </w:r>
            <w:proofErr w:type="spellEnd"/>
            <w:r w:rsidRPr="00786891">
              <w:rPr>
                <w:sz w:val="21"/>
                <w:szCs w:val="21"/>
              </w:rPr>
              <w:t xml:space="preserve"> &amp; Elaine </w:t>
            </w:r>
            <w:proofErr w:type="spellStart"/>
            <w:r w:rsidRPr="00786891">
              <w:rPr>
                <w:sz w:val="21"/>
                <w:szCs w:val="21"/>
              </w:rPr>
              <w:t>Silveira</w:t>
            </w:r>
            <w:proofErr w:type="spellEnd"/>
          </w:p>
        </w:tc>
      </w:tr>
      <w:tr w:rsidR="00732C9C" w:rsidRPr="00A536EB" w:rsidTr="00024D63">
        <w:trPr>
          <w:trHeight w:val="244"/>
        </w:trPr>
        <w:tc>
          <w:tcPr>
            <w:tcW w:w="3203" w:type="dxa"/>
          </w:tcPr>
          <w:p w:rsidR="00732C9C" w:rsidRPr="00786891" w:rsidRDefault="00732C9C" w:rsidP="00732C9C">
            <w:pPr>
              <w:rPr>
                <w:b/>
                <w:sz w:val="21"/>
                <w:szCs w:val="21"/>
              </w:rPr>
            </w:pPr>
            <w:r w:rsidRPr="00786891">
              <w:rPr>
                <w:b/>
                <w:sz w:val="21"/>
                <w:szCs w:val="21"/>
              </w:rPr>
              <w:t>ARBITRATION DATE:</w:t>
            </w:r>
          </w:p>
        </w:tc>
        <w:tc>
          <w:tcPr>
            <w:tcW w:w="7345" w:type="dxa"/>
            <w:gridSpan w:val="3"/>
          </w:tcPr>
          <w:p w:rsidR="00732C9C" w:rsidRPr="00786891" w:rsidRDefault="009C015E" w:rsidP="00C87111">
            <w:pPr>
              <w:ind w:left="432" w:hanging="432"/>
              <w:rPr>
                <w:sz w:val="21"/>
                <w:szCs w:val="21"/>
              </w:rPr>
            </w:pPr>
            <w:r w:rsidRPr="00786891">
              <w:rPr>
                <w:sz w:val="21"/>
                <w:szCs w:val="21"/>
              </w:rPr>
              <w:t xml:space="preserve">March </w:t>
            </w:r>
            <w:r w:rsidR="00C87111" w:rsidRPr="00786891">
              <w:rPr>
                <w:sz w:val="21"/>
                <w:szCs w:val="21"/>
              </w:rPr>
              <w:t>8</w:t>
            </w:r>
            <w:r w:rsidRPr="00786891">
              <w:rPr>
                <w:sz w:val="21"/>
                <w:szCs w:val="21"/>
              </w:rPr>
              <w:t>, 2012</w:t>
            </w:r>
          </w:p>
        </w:tc>
      </w:tr>
      <w:tr w:rsidR="00732C9C" w:rsidRPr="00A536EB" w:rsidTr="00024D63">
        <w:trPr>
          <w:trHeight w:val="231"/>
        </w:trPr>
        <w:tc>
          <w:tcPr>
            <w:tcW w:w="3203" w:type="dxa"/>
          </w:tcPr>
          <w:p w:rsidR="00732C9C" w:rsidRPr="00786891" w:rsidRDefault="00732C9C" w:rsidP="00732C9C">
            <w:pPr>
              <w:rPr>
                <w:b/>
                <w:sz w:val="21"/>
                <w:szCs w:val="21"/>
              </w:rPr>
            </w:pPr>
            <w:r w:rsidRPr="00786891">
              <w:rPr>
                <w:b/>
                <w:sz w:val="21"/>
                <w:szCs w:val="21"/>
              </w:rPr>
              <w:t>DECISION DATE:</w:t>
            </w:r>
          </w:p>
        </w:tc>
        <w:tc>
          <w:tcPr>
            <w:tcW w:w="7345" w:type="dxa"/>
            <w:gridSpan w:val="3"/>
          </w:tcPr>
          <w:p w:rsidR="00732C9C" w:rsidRPr="00786891" w:rsidRDefault="00C87111" w:rsidP="00C87111">
            <w:pPr>
              <w:ind w:left="432" w:hanging="432"/>
              <w:rPr>
                <w:sz w:val="21"/>
                <w:szCs w:val="21"/>
              </w:rPr>
            </w:pPr>
            <w:r w:rsidRPr="00786891">
              <w:rPr>
                <w:sz w:val="21"/>
                <w:szCs w:val="21"/>
              </w:rPr>
              <w:t>June</w:t>
            </w:r>
            <w:r w:rsidR="009C015E" w:rsidRPr="00786891">
              <w:rPr>
                <w:sz w:val="21"/>
                <w:szCs w:val="21"/>
              </w:rPr>
              <w:t xml:space="preserve"> </w:t>
            </w:r>
            <w:r w:rsidRPr="00786891">
              <w:rPr>
                <w:sz w:val="21"/>
                <w:szCs w:val="21"/>
              </w:rPr>
              <w:t>3</w:t>
            </w:r>
            <w:r w:rsidR="00C848E3" w:rsidRPr="00786891">
              <w:rPr>
                <w:sz w:val="21"/>
                <w:szCs w:val="21"/>
              </w:rPr>
              <w:t>, 2012</w:t>
            </w:r>
          </w:p>
        </w:tc>
      </w:tr>
      <w:tr w:rsidR="00732C9C" w:rsidRPr="00A536EB" w:rsidTr="00024D63">
        <w:trPr>
          <w:trHeight w:val="244"/>
        </w:trPr>
        <w:tc>
          <w:tcPr>
            <w:tcW w:w="3203" w:type="dxa"/>
          </w:tcPr>
          <w:p w:rsidR="00732C9C" w:rsidRPr="00786891" w:rsidRDefault="00732C9C" w:rsidP="00732C9C">
            <w:pPr>
              <w:rPr>
                <w:b/>
                <w:sz w:val="21"/>
                <w:szCs w:val="21"/>
              </w:rPr>
            </w:pPr>
            <w:r w:rsidRPr="00786891">
              <w:rPr>
                <w:b/>
                <w:sz w:val="21"/>
                <w:szCs w:val="21"/>
              </w:rPr>
              <w:t>DECISION:</w:t>
            </w:r>
          </w:p>
        </w:tc>
        <w:tc>
          <w:tcPr>
            <w:tcW w:w="7345" w:type="dxa"/>
            <w:gridSpan w:val="3"/>
          </w:tcPr>
          <w:p w:rsidR="00732C9C" w:rsidRPr="00786891" w:rsidRDefault="00C87111" w:rsidP="00732C9C">
            <w:pPr>
              <w:ind w:left="432" w:hanging="432"/>
              <w:rPr>
                <w:sz w:val="21"/>
                <w:szCs w:val="21"/>
              </w:rPr>
            </w:pPr>
            <w:r w:rsidRPr="00786891">
              <w:rPr>
                <w:sz w:val="21"/>
                <w:szCs w:val="21"/>
              </w:rPr>
              <w:t>DENIED</w:t>
            </w:r>
          </w:p>
        </w:tc>
      </w:tr>
      <w:tr w:rsidR="00732C9C" w:rsidRPr="00A536EB" w:rsidTr="00024D63">
        <w:trPr>
          <w:trHeight w:val="472"/>
        </w:trPr>
        <w:tc>
          <w:tcPr>
            <w:tcW w:w="3203" w:type="dxa"/>
          </w:tcPr>
          <w:p w:rsidR="00732C9C" w:rsidRPr="00786891" w:rsidRDefault="00732C9C" w:rsidP="00732C9C">
            <w:pPr>
              <w:rPr>
                <w:b/>
                <w:sz w:val="21"/>
                <w:szCs w:val="21"/>
              </w:rPr>
            </w:pPr>
            <w:r w:rsidRPr="00786891">
              <w:rPr>
                <w:b/>
                <w:sz w:val="21"/>
                <w:szCs w:val="21"/>
              </w:rPr>
              <w:t>CONTRACT SECTIONS:</w:t>
            </w:r>
          </w:p>
        </w:tc>
        <w:tc>
          <w:tcPr>
            <w:tcW w:w="7345" w:type="dxa"/>
            <w:gridSpan w:val="3"/>
          </w:tcPr>
          <w:p w:rsidR="00732C9C" w:rsidRPr="00786891" w:rsidRDefault="00C87111" w:rsidP="00617BDA">
            <w:pPr>
              <w:ind w:left="432" w:hanging="432"/>
              <w:rPr>
                <w:sz w:val="21"/>
                <w:szCs w:val="21"/>
              </w:rPr>
            </w:pPr>
            <w:r w:rsidRPr="00786891">
              <w:rPr>
                <w:sz w:val="21"/>
                <w:szCs w:val="21"/>
              </w:rPr>
              <w:t>Article</w:t>
            </w:r>
            <w:r w:rsidR="009C015E" w:rsidRPr="00786891">
              <w:rPr>
                <w:sz w:val="21"/>
                <w:szCs w:val="21"/>
              </w:rPr>
              <w:t xml:space="preserve"> </w:t>
            </w:r>
            <w:r w:rsidRPr="00786891">
              <w:rPr>
                <w:sz w:val="21"/>
                <w:szCs w:val="21"/>
              </w:rPr>
              <w:t>19.01</w:t>
            </w:r>
            <w:r w:rsidR="009C015E" w:rsidRPr="00786891">
              <w:rPr>
                <w:sz w:val="21"/>
                <w:szCs w:val="21"/>
              </w:rPr>
              <w:t>—</w:t>
            </w:r>
            <w:r w:rsidRPr="00786891">
              <w:rPr>
                <w:sz w:val="21"/>
                <w:szCs w:val="21"/>
              </w:rPr>
              <w:t>Disciplinary</w:t>
            </w:r>
            <w:r w:rsidR="009C015E" w:rsidRPr="00786891">
              <w:rPr>
                <w:sz w:val="21"/>
                <w:szCs w:val="21"/>
              </w:rPr>
              <w:t xml:space="preserve"> Procedure</w:t>
            </w:r>
            <w:r w:rsidRPr="00786891">
              <w:rPr>
                <w:sz w:val="21"/>
                <w:szCs w:val="21"/>
              </w:rPr>
              <w:t xml:space="preserve"> Standard</w:t>
            </w:r>
            <w:r w:rsidR="009C015E" w:rsidRPr="00786891">
              <w:rPr>
                <w:sz w:val="21"/>
                <w:szCs w:val="21"/>
              </w:rPr>
              <w:t xml:space="preserve">; </w:t>
            </w:r>
            <w:r w:rsidRPr="00786891">
              <w:rPr>
                <w:sz w:val="21"/>
                <w:szCs w:val="21"/>
              </w:rPr>
              <w:t>Article 19.05––Progressive Discipline</w:t>
            </w:r>
          </w:p>
        </w:tc>
      </w:tr>
      <w:tr w:rsidR="00732C9C" w:rsidRPr="00A536EB" w:rsidTr="00024D63">
        <w:trPr>
          <w:trHeight w:val="270"/>
        </w:trPr>
        <w:tc>
          <w:tcPr>
            <w:tcW w:w="3203" w:type="dxa"/>
          </w:tcPr>
          <w:p w:rsidR="00732C9C" w:rsidRPr="00786891" w:rsidRDefault="00732C9C" w:rsidP="00732C9C">
            <w:pPr>
              <w:rPr>
                <w:b/>
                <w:sz w:val="21"/>
                <w:szCs w:val="21"/>
              </w:rPr>
            </w:pPr>
            <w:r w:rsidRPr="00786891">
              <w:rPr>
                <w:b/>
                <w:sz w:val="21"/>
                <w:szCs w:val="21"/>
              </w:rPr>
              <w:t>OCB RESEARCH CODES:</w:t>
            </w:r>
          </w:p>
        </w:tc>
        <w:tc>
          <w:tcPr>
            <w:tcW w:w="7345" w:type="dxa"/>
            <w:gridSpan w:val="3"/>
          </w:tcPr>
          <w:p w:rsidR="00732C9C" w:rsidRPr="00786891" w:rsidRDefault="00B77AF4" w:rsidP="00B77AF4">
            <w:pPr>
              <w:ind w:left="432" w:hanging="432"/>
              <w:rPr>
                <w:sz w:val="21"/>
                <w:szCs w:val="21"/>
              </w:rPr>
            </w:pPr>
            <w:r w:rsidRPr="00786891">
              <w:rPr>
                <w:sz w:val="21"/>
                <w:szCs w:val="21"/>
              </w:rPr>
              <w:t>118.6481</w:t>
            </w:r>
            <w:r w:rsidR="00C53503" w:rsidRPr="00786891">
              <w:rPr>
                <w:sz w:val="21"/>
                <w:szCs w:val="21"/>
              </w:rPr>
              <w:t>—</w:t>
            </w:r>
            <w:r w:rsidRPr="00786891">
              <w:rPr>
                <w:sz w:val="21"/>
                <w:szCs w:val="21"/>
              </w:rPr>
              <w:t>Dishonesty</w:t>
            </w:r>
            <w:r w:rsidR="00C53503" w:rsidRPr="00786891">
              <w:rPr>
                <w:sz w:val="21"/>
                <w:szCs w:val="21"/>
              </w:rPr>
              <w:t>-In General</w:t>
            </w:r>
            <w:r w:rsidR="009F66FE" w:rsidRPr="00786891">
              <w:rPr>
                <w:sz w:val="21"/>
                <w:szCs w:val="21"/>
              </w:rPr>
              <w:t xml:space="preserve">; </w:t>
            </w:r>
            <w:r w:rsidRPr="00786891">
              <w:rPr>
                <w:sz w:val="21"/>
                <w:szCs w:val="21"/>
              </w:rPr>
              <w:t>118.6515</w:t>
            </w:r>
            <w:r w:rsidR="006F58E1" w:rsidRPr="00786891">
              <w:rPr>
                <w:sz w:val="21"/>
                <w:szCs w:val="21"/>
              </w:rPr>
              <w:t>—</w:t>
            </w:r>
            <w:r w:rsidRPr="00786891">
              <w:rPr>
                <w:sz w:val="21"/>
                <w:szCs w:val="21"/>
              </w:rPr>
              <w:t>Poor Judgment</w:t>
            </w:r>
            <w:r w:rsidR="00B860DF" w:rsidRPr="00786891">
              <w:rPr>
                <w:sz w:val="21"/>
                <w:szCs w:val="21"/>
              </w:rPr>
              <w:t>; 115.2</w:t>
            </w:r>
            <w:r w:rsidRPr="00786891">
              <w:rPr>
                <w:sz w:val="21"/>
                <w:szCs w:val="21"/>
              </w:rPr>
              <w:t>17</w:t>
            </w:r>
            <w:r w:rsidR="00B860DF" w:rsidRPr="00786891">
              <w:rPr>
                <w:sz w:val="21"/>
                <w:szCs w:val="21"/>
              </w:rPr>
              <w:t>—</w:t>
            </w:r>
            <w:r w:rsidRPr="00786891">
              <w:rPr>
                <w:sz w:val="21"/>
                <w:szCs w:val="21"/>
              </w:rPr>
              <w:t>Breaks</w:t>
            </w:r>
          </w:p>
        </w:tc>
      </w:tr>
      <w:tr w:rsidR="00732C9C" w:rsidRPr="00A536EB" w:rsidTr="00024D63">
        <w:trPr>
          <w:gridAfter w:val="1"/>
          <w:wAfter w:w="35" w:type="dxa"/>
          <w:trHeight w:val="231"/>
        </w:trPr>
        <w:tc>
          <w:tcPr>
            <w:tcW w:w="3952" w:type="dxa"/>
            <w:gridSpan w:val="2"/>
          </w:tcPr>
          <w:p w:rsidR="00732C9C" w:rsidRPr="00024D63" w:rsidRDefault="00732C9C" w:rsidP="00732C9C">
            <w:pPr>
              <w:rPr>
                <w:b/>
                <w:sz w:val="11"/>
                <w:szCs w:val="23"/>
              </w:rPr>
            </w:pPr>
          </w:p>
        </w:tc>
        <w:tc>
          <w:tcPr>
            <w:tcW w:w="6561" w:type="dxa"/>
          </w:tcPr>
          <w:p w:rsidR="00732C9C" w:rsidRPr="00506E73" w:rsidRDefault="00732C9C" w:rsidP="00506E73">
            <w:pPr>
              <w:rPr>
                <w:sz w:val="2"/>
                <w:szCs w:val="23"/>
              </w:rPr>
            </w:pPr>
          </w:p>
        </w:tc>
      </w:tr>
    </w:tbl>
    <w:p w:rsidR="007C2CE2" w:rsidRPr="00A536EB" w:rsidRDefault="00732C9C" w:rsidP="00DB5E70">
      <w:pPr>
        <w:jc w:val="both"/>
        <w:rPr>
          <w:sz w:val="23"/>
          <w:szCs w:val="23"/>
        </w:rPr>
      </w:pPr>
      <w:r w:rsidRPr="00A536EB">
        <w:rPr>
          <w:b/>
          <w:sz w:val="23"/>
          <w:szCs w:val="23"/>
        </w:rPr>
        <w:t xml:space="preserve">HOLDING: </w:t>
      </w:r>
      <w:r w:rsidRPr="00A536EB">
        <w:rPr>
          <w:b/>
          <w:sz w:val="23"/>
          <w:szCs w:val="23"/>
        </w:rPr>
        <w:tab/>
      </w:r>
      <w:r w:rsidR="00641968" w:rsidRPr="00A536EB">
        <w:rPr>
          <w:b/>
          <w:sz w:val="23"/>
          <w:szCs w:val="23"/>
        </w:rPr>
        <w:t xml:space="preserve">Grievance </w:t>
      </w:r>
      <w:r w:rsidR="00B77AF4" w:rsidRPr="00A536EB">
        <w:rPr>
          <w:b/>
          <w:sz w:val="23"/>
          <w:szCs w:val="23"/>
        </w:rPr>
        <w:t>DENIED</w:t>
      </w:r>
      <w:r w:rsidR="005C27B8" w:rsidRPr="00A536EB">
        <w:rPr>
          <w:b/>
          <w:sz w:val="23"/>
          <w:szCs w:val="23"/>
        </w:rPr>
        <w:t xml:space="preserve">. The Arbitrator found </w:t>
      </w:r>
      <w:r w:rsidR="0073294E" w:rsidRPr="00A536EB">
        <w:rPr>
          <w:b/>
          <w:sz w:val="23"/>
          <w:szCs w:val="23"/>
        </w:rPr>
        <w:t>that Grievant’s inconsistent statements were untruthful and justified removal.</w:t>
      </w:r>
      <w:r w:rsidR="00922787">
        <w:rPr>
          <w:b/>
          <w:sz w:val="23"/>
          <w:szCs w:val="23"/>
        </w:rPr>
        <w:t xml:space="preserve"> </w:t>
      </w:r>
      <w:r w:rsidR="00F4317E" w:rsidRPr="00A536EB">
        <w:rPr>
          <w:b/>
          <w:sz w:val="23"/>
          <w:szCs w:val="23"/>
        </w:rPr>
        <w:t xml:space="preserve"> </w:t>
      </w:r>
      <w:r w:rsidR="00786891">
        <w:rPr>
          <w:b/>
          <w:sz w:val="23"/>
          <w:szCs w:val="23"/>
        </w:rPr>
        <w:t xml:space="preserve">Although the </w:t>
      </w:r>
      <w:r w:rsidR="00FC2785">
        <w:rPr>
          <w:b/>
          <w:sz w:val="23"/>
          <w:szCs w:val="23"/>
        </w:rPr>
        <w:t xml:space="preserve">Employer’s </w:t>
      </w:r>
      <w:r w:rsidR="00786891" w:rsidRPr="00A536EB">
        <w:rPr>
          <w:b/>
          <w:sz w:val="23"/>
          <w:szCs w:val="23"/>
        </w:rPr>
        <w:t>conduct unbecoming</w:t>
      </w:r>
      <w:bookmarkStart w:id="0" w:name="_GoBack"/>
      <w:bookmarkEnd w:id="0"/>
      <w:r w:rsidR="00786891" w:rsidRPr="00A536EB">
        <w:rPr>
          <w:b/>
          <w:sz w:val="23"/>
          <w:szCs w:val="23"/>
        </w:rPr>
        <w:t xml:space="preserve"> charge</w:t>
      </w:r>
      <w:r w:rsidR="00024D63">
        <w:rPr>
          <w:b/>
          <w:sz w:val="23"/>
          <w:szCs w:val="23"/>
        </w:rPr>
        <w:t xml:space="preserve"> could not be substantiated</w:t>
      </w:r>
      <w:r w:rsidR="00786891">
        <w:rPr>
          <w:b/>
          <w:sz w:val="23"/>
          <w:szCs w:val="23"/>
        </w:rPr>
        <w:t>,</w:t>
      </w:r>
      <w:r w:rsidR="00786891" w:rsidRPr="00A536EB">
        <w:rPr>
          <w:b/>
          <w:sz w:val="23"/>
          <w:szCs w:val="23"/>
        </w:rPr>
        <w:t xml:space="preserve"> </w:t>
      </w:r>
      <w:r w:rsidR="00786891">
        <w:rPr>
          <w:b/>
          <w:sz w:val="23"/>
          <w:szCs w:val="23"/>
        </w:rPr>
        <w:t xml:space="preserve">as </w:t>
      </w:r>
      <w:r w:rsidR="00024D63">
        <w:rPr>
          <w:b/>
          <w:sz w:val="23"/>
          <w:szCs w:val="23"/>
        </w:rPr>
        <w:t>the Employer was</w:t>
      </w:r>
      <w:r w:rsidR="00786891">
        <w:rPr>
          <w:b/>
          <w:sz w:val="23"/>
          <w:szCs w:val="23"/>
        </w:rPr>
        <w:t xml:space="preserve"> unable to </w:t>
      </w:r>
      <w:r w:rsidR="00024D63">
        <w:rPr>
          <w:b/>
          <w:sz w:val="23"/>
          <w:szCs w:val="23"/>
        </w:rPr>
        <w:t>prove</w:t>
      </w:r>
      <w:r w:rsidR="00786891">
        <w:rPr>
          <w:b/>
          <w:sz w:val="23"/>
          <w:szCs w:val="23"/>
        </w:rPr>
        <w:t xml:space="preserve"> that Grievant engaged in a</w:t>
      </w:r>
      <w:r w:rsidR="00786891" w:rsidRPr="00A536EB">
        <w:rPr>
          <w:b/>
          <w:sz w:val="23"/>
          <w:szCs w:val="23"/>
        </w:rPr>
        <w:t xml:space="preserve"> sexual act</w:t>
      </w:r>
      <w:r w:rsidR="00786891">
        <w:rPr>
          <w:b/>
          <w:sz w:val="23"/>
          <w:szCs w:val="23"/>
        </w:rPr>
        <w:t xml:space="preserve">, the Arbitrator </w:t>
      </w:r>
      <w:r w:rsidR="00024D63">
        <w:rPr>
          <w:b/>
          <w:sz w:val="23"/>
          <w:szCs w:val="23"/>
        </w:rPr>
        <w:t xml:space="preserve">still </w:t>
      </w:r>
      <w:r w:rsidR="00786891">
        <w:rPr>
          <w:b/>
          <w:sz w:val="23"/>
          <w:szCs w:val="23"/>
        </w:rPr>
        <w:t xml:space="preserve">found that </w:t>
      </w:r>
      <w:r w:rsidR="00024D63">
        <w:rPr>
          <w:b/>
          <w:sz w:val="23"/>
          <w:szCs w:val="23"/>
        </w:rPr>
        <w:t>Grievant’s untruth was enough to justify removal</w:t>
      </w:r>
      <w:r w:rsidR="00786891" w:rsidRPr="00A536EB">
        <w:rPr>
          <w:b/>
          <w:sz w:val="23"/>
          <w:szCs w:val="23"/>
        </w:rPr>
        <w:t xml:space="preserve">. </w:t>
      </w:r>
      <w:r w:rsidR="00786891">
        <w:rPr>
          <w:b/>
          <w:sz w:val="23"/>
          <w:szCs w:val="23"/>
        </w:rPr>
        <w:t xml:space="preserve"> </w:t>
      </w:r>
      <w:r w:rsidR="00F4317E" w:rsidRPr="00A536EB">
        <w:rPr>
          <w:b/>
          <w:sz w:val="23"/>
          <w:szCs w:val="23"/>
        </w:rPr>
        <w:t xml:space="preserve">Because Grievant stated “I don’t recall” </w:t>
      </w:r>
      <w:r w:rsidR="00711929">
        <w:rPr>
          <w:b/>
          <w:sz w:val="23"/>
          <w:szCs w:val="23"/>
        </w:rPr>
        <w:t xml:space="preserve">what happened </w:t>
      </w:r>
      <w:r w:rsidR="00F4317E" w:rsidRPr="00A536EB">
        <w:rPr>
          <w:b/>
          <w:sz w:val="23"/>
          <w:szCs w:val="23"/>
        </w:rPr>
        <w:t>during a paid break</w:t>
      </w:r>
      <w:r w:rsidR="00922787">
        <w:rPr>
          <w:b/>
          <w:sz w:val="23"/>
          <w:szCs w:val="23"/>
        </w:rPr>
        <w:t>,</w:t>
      </w:r>
      <w:r w:rsidR="00711929">
        <w:rPr>
          <w:b/>
          <w:sz w:val="23"/>
          <w:szCs w:val="23"/>
        </w:rPr>
        <w:t xml:space="preserve"> in an attempt to cover up questionable behavior</w:t>
      </w:r>
      <w:r w:rsidR="00F4317E" w:rsidRPr="00A536EB">
        <w:rPr>
          <w:b/>
          <w:sz w:val="23"/>
          <w:szCs w:val="23"/>
        </w:rPr>
        <w:t>, Grievant knowingly made an untrue statement</w:t>
      </w:r>
      <w:r w:rsidR="00DA48BF">
        <w:rPr>
          <w:b/>
          <w:sz w:val="23"/>
          <w:szCs w:val="23"/>
        </w:rPr>
        <w:t xml:space="preserve">.  The Employer’s compelling need for honest sergeants with strong integrity </w:t>
      </w:r>
      <w:r w:rsidR="00786891">
        <w:rPr>
          <w:b/>
          <w:sz w:val="23"/>
          <w:szCs w:val="23"/>
        </w:rPr>
        <w:t xml:space="preserve">was enough to </w:t>
      </w:r>
      <w:r w:rsidR="00F4317E" w:rsidRPr="00A536EB">
        <w:rPr>
          <w:b/>
          <w:sz w:val="23"/>
          <w:szCs w:val="23"/>
        </w:rPr>
        <w:t>justif</w:t>
      </w:r>
      <w:r w:rsidR="00786891">
        <w:rPr>
          <w:b/>
          <w:sz w:val="23"/>
          <w:szCs w:val="23"/>
        </w:rPr>
        <w:t>y</w:t>
      </w:r>
      <w:r w:rsidR="00F4317E" w:rsidRPr="00A536EB">
        <w:rPr>
          <w:b/>
          <w:sz w:val="23"/>
          <w:szCs w:val="23"/>
        </w:rPr>
        <w:t xml:space="preserve"> removal. </w:t>
      </w:r>
    </w:p>
    <w:p w:rsidR="009E21E4" w:rsidRPr="00024D63" w:rsidRDefault="009E21E4" w:rsidP="009E21E4">
      <w:pPr>
        <w:jc w:val="both"/>
        <w:rPr>
          <w:sz w:val="15"/>
          <w:szCs w:val="23"/>
        </w:rPr>
      </w:pPr>
    </w:p>
    <w:p w:rsidR="006D084B" w:rsidRPr="00A536EB" w:rsidRDefault="00975184" w:rsidP="009E21E4">
      <w:pPr>
        <w:jc w:val="both"/>
        <w:rPr>
          <w:sz w:val="23"/>
          <w:szCs w:val="23"/>
        </w:rPr>
      </w:pPr>
      <w:r w:rsidRPr="00A536EB">
        <w:rPr>
          <w:sz w:val="23"/>
          <w:szCs w:val="23"/>
        </w:rPr>
        <w:t xml:space="preserve">On December 21, 2011, </w:t>
      </w:r>
      <w:r w:rsidR="001B2811" w:rsidRPr="00A536EB">
        <w:rPr>
          <w:sz w:val="23"/>
          <w:szCs w:val="23"/>
        </w:rPr>
        <w:t>Grievant</w:t>
      </w:r>
      <w:r w:rsidRPr="00A536EB">
        <w:rPr>
          <w:sz w:val="23"/>
          <w:szCs w:val="23"/>
        </w:rPr>
        <w:t xml:space="preserve"> was terminated as a </w:t>
      </w:r>
      <w:r w:rsidR="00C24833" w:rsidRPr="00A536EB">
        <w:rPr>
          <w:sz w:val="23"/>
          <w:szCs w:val="23"/>
        </w:rPr>
        <w:t>s</w:t>
      </w:r>
      <w:r w:rsidR="00F4317E" w:rsidRPr="00A536EB">
        <w:rPr>
          <w:sz w:val="23"/>
          <w:szCs w:val="23"/>
        </w:rPr>
        <w:t xml:space="preserve">ergeant for the Ohio State </w:t>
      </w:r>
      <w:r w:rsidRPr="00A536EB">
        <w:rPr>
          <w:sz w:val="23"/>
          <w:szCs w:val="23"/>
        </w:rPr>
        <w:t xml:space="preserve">Highway Patrol for making a false statement and </w:t>
      </w:r>
      <w:r w:rsidR="00922787">
        <w:rPr>
          <w:sz w:val="23"/>
          <w:szCs w:val="23"/>
        </w:rPr>
        <w:t xml:space="preserve">for </w:t>
      </w:r>
      <w:r w:rsidRPr="00A536EB">
        <w:rPr>
          <w:sz w:val="23"/>
          <w:szCs w:val="23"/>
        </w:rPr>
        <w:t>conduct unbecoming of an officer</w:t>
      </w:r>
      <w:r w:rsidR="001B2811" w:rsidRPr="00A536EB">
        <w:rPr>
          <w:sz w:val="23"/>
          <w:szCs w:val="23"/>
        </w:rPr>
        <w:t xml:space="preserve">. </w:t>
      </w:r>
      <w:r w:rsidR="00922787">
        <w:rPr>
          <w:sz w:val="23"/>
          <w:szCs w:val="23"/>
        </w:rPr>
        <w:t xml:space="preserve"> </w:t>
      </w:r>
      <w:r w:rsidRPr="00A536EB">
        <w:rPr>
          <w:sz w:val="23"/>
          <w:szCs w:val="23"/>
        </w:rPr>
        <w:t xml:space="preserve">An administrative investigation </w:t>
      </w:r>
      <w:r w:rsidR="00506E73">
        <w:rPr>
          <w:sz w:val="23"/>
          <w:szCs w:val="23"/>
        </w:rPr>
        <w:t>(</w:t>
      </w:r>
      <w:r w:rsidR="00922787">
        <w:rPr>
          <w:sz w:val="23"/>
          <w:szCs w:val="23"/>
        </w:rPr>
        <w:t>“</w:t>
      </w:r>
      <w:r w:rsidR="00506E73">
        <w:rPr>
          <w:sz w:val="23"/>
          <w:szCs w:val="23"/>
        </w:rPr>
        <w:t>AI</w:t>
      </w:r>
      <w:r w:rsidR="00922787">
        <w:rPr>
          <w:sz w:val="23"/>
          <w:szCs w:val="23"/>
        </w:rPr>
        <w:t>”</w:t>
      </w:r>
      <w:r w:rsidR="00506E73">
        <w:rPr>
          <w:sz w:val="23"/>
          <w:szCs w:val="23"/>
        </w:rPr>
        <w:t xml:space="preserve">) </w:t>
      </w:r>
      <w:r w:rsidR="0043333B" w:rsidRPr="00A536EB">
        <w:rPr>
          <w:sz w:val="23"/>
          <w:szCs w:val="23"/>
        </w:rPr>
        <w:t>on October 25</w:t>
      </w:r>
      <w:r w:rsidR="00922787">
        <w:rPr>
          <w:sz w:val="23"/>
          <w:szCs w:val="23"/>
        </w:rPr>
        <w:t>, 2011</w:t>
      </w:r>
      <w:r w:rsidR="0043333B" w:rsidRPr="00A536EB">
        <w:rPr>
          <w:sz w:val="23"/>
          <w:szCs w:val="23"/>
        </w:rPr>
        <w:t xml:space="preserve"> </w:t>
      </w:r>
      <w:r w:rsidRPr="00A536EB">
        <w:rPr>
          <w:sz w:val="23"/>
          <w:szCs w:val="23"/>
        </w:rPr>
        <w:t xml:space="preserve">revealed that Grievant made personal phone calls </w:t>
      </w:r>
      <w:r w:rsidR="00F545E1" w:rsidRPr="00A536EB">
        <w:rPr>
          <w:sz w:val="23"/>
          <w:szCs w:val="23"/>
        </w:rPr>
        <w:t xml:space="preserve">and sent personal text messages </w:t>
      </w:r>
      <w:r w:rsidR="00922787">
        <w:rPr>
          <w:sz w:val="23"/>
          <w:szCs w:val="23"/>
        </w:rPr>
        <w:t xml:space="preserve">to his girlfriend </w:t>
      </w:r>
      <w:r w:rsidR="00F545E1" w:rsidRPr="00A536EB">
        <w:rPr>
          <w:sz w:val="23"/>
          <w:szCs w:val="23"/>
        </w:rPr>
        <w:t>while on-duty as well as</w:t>
      </w:r>
      <w:r w:rsidR="00194A0E" w:rsidRPr="00A536EB">
        <w:rPr>
          <w:sz w:val="23"/>
          <w:szCs w:val="23"/>
        </w:rPr>
        <w:t xml:space="preserve"> made a Facebook</w:t>
      </w:r>
      <w:r w:rsidR="00F545E1" w:rsidRPr="00A536EB">
        <w:rPr>
          <w:sz w:val="23"/>
          <w:szCs w:val="23"/>
        </w:rPr>
        <w:t xml:space="preserve"> post about his girlfriend having an orgasm, suggesting a sexual encounter during a paid lunch</w:t>
      </w:r>
      <w:r w:rsidR="00101653" w:rsidRPr="00A536EB">
        <w:rPr>
          <w:sz w:val="23"/>
          <w:szCs w:val="23"/>
        </w:rPr>
        <w:t xml:space="preserve">. </w:t>
      </w:r>
      <w:r w:rsidR="00922787">
        <w:rPr>
          <w:sz w:val="23"/>
          <w:szCs w:val="23"/>
        </w:rPr>
        <w:t xml:space="preserve"> </w:t>
      </w:r>
      <w:r w:rsidR="0043333B" w:rsidRPr="00A536EB">
        <w:rPr>
          <w:sz w:val="23"/>
          <w:szCs w:val="23"/>
        </w:rPr>
        <w:t>A second AI conducted on November 14</w:t>
      </w:r>
      <w:r w:rsidR="0043333B" w:rsidRPr="00A536EB">
        <w:rPr>
          <w:sz w:val="23"/>
          <w:szCs w:val="23"/>
          <w:vertAlign w:val="superscript"/>
        </w:rPr>
        <w:t>th</w:t>
      </w:r>
      <w:r w:rsidR="0043333B" w:rsidRPr="00A536EB">
        <w:rPr>
          <w:sz w:val="23"/>
          <w:szCs w:val="23"/>
        </w:rPr>
        <w:t xml:space="preserve"> revealed conflicting testimony by Grievant</w:t>
      </w:r>
      <w:r w:rsidR="00194A0E" w:rsidRPr="00A536EB">
        <w:rPr>
          <w:sz w:val="23"/>
          <w:szCs w:val="23"/>
        </w:rPr>
        <w:t xml:space="preserve"> and served as the second basis</w:t>
      </w:r>
      <w:r w:rsidR="00922787">
        <w:rPr>
          <w:sz w:val="23"/>
          <w:szCs w:val="23"/>
        </w:rPr>
        <w:t xml:space="preserve"> for termination – </w:t>
      </w:r>
      <w:r w:rsidR="00FA76C1" w:rsidRPr="00A536EB">
        <w:rPr>
          <w:sz w:val="23"/>
          <w:szCs w:val="23"/>
        </w:rPr>
        <w:t>dishonesty</w:t>
      </w:r>
      <w:r w:rsidR="00183B43" w:rsidRPr="00A536EB">
        <w:rPr>
          <w:sz w:val="23"/>
          <w:szCs w:val="23"/>
        </w:rPr>
        <w:t>.</w:t>
      </w:r>
      <w:r w:rsidR="00194A0E" w:rsidRPr="00A536EB">
        <w:rPr>
          <w:sz w:val="23"/>
          <w:szCs w:val="23"/>
        </w:rPr>
        <w:t xml:space="preserve">  Grievant alleged that no sexual encounter occurred and Grievant did not lie about the encounter. </w:t>
      </w:r>
    </w:p>
    <w:p w:rsidR="00183B43" w:rsidRPr="00024D63" w:rsidRDefault="00183B43" w:rsidP="009E21E4">
      <w:pPr>
        <w:jc w:val="both"/>
        <w:rPr>
          <w:sz w:val="15"/>
          <w:szCs w:val="23"/>
        </w:rPr>
      </w:pPr>
    </w:p>
    <w:p w:rsidR="00F56C24" w:rsidRPr="00A536EB" w:rsidRDefault="004D25C5" w:rsidP="009E21E4">
      <w:pPr>
        <w:jc w:val="both"/>
        <w:rPr>
          <w:sz w:val="23"/>
          <w:szCs w:val="23"/>
        </w:rPr>
      </w:pPr>
      <w:r w:rsidRPr="00A536EB">
        <w:rPr>
          <w:sz w:val="23"/>
          <w:szCs w:val="23"/>
        </w:rPr>
        <w:t xml:space="preserve">The Employer argued </w:t>
      </w:r>
      <w:r w:rsidR="004B064E" w:rsidRPr="00A536EB">
        <w:rPr>
          <w:sz w:val="23"/>
          <w:szCs w:val="23"/>
        </w:rPr>
        <w:t xml:space="preserve">that </w:t>
      </w:r>
      <w:r w:rsidR="00FA76C1" w:rsidRPr="00A536EB">
        <w:rPr>
          <w:sz w:val="23"/>
          <w:szCs w:val="23"/>
        </w:rPr>
        <w:t xml:space="preserve">Grievant participated in a sexual encounter during his on-duty meal break and then lied about the encounter during </w:t>
      </w:r>
      <w:r w:rsidR="00922787">
        <w:rPr>
          <w:sz w:val="23"/>
          <w:szCs w:val="23"/>
        </w:rPr>
        <w:t>the</w:t>
      </w:r>
      <w:r w:rsidR="00FA76C1" w:rsidRPr="00A536EB">
        <w:rPr>
          <w:sz w:val="23"/>
          <w:szCs w:val="23"/>
        </w:rPr>
        <w:t xml:space="preserve"> </w:t>
      </w:r>
      <w:r w:rsidR="00506E73">
        <w:rPr>
          <w:sz w:val="23"/>
          <w:szCs w:val="23"/>
        </w:rPr>
        <w:t>AI</w:t>
      </w:r>
      <w:r w:rsidR="004B064E" w:rsidRPr="00A536EB">
        <w:rPr>
          <w:sz w:val="23"/>
          <w:szCs w:val="23"/>
        </w:rPr>
        <w:t>.</w:t>
      </w:r>
      <w:r w:rsidR="00FF112D" w:rsidRPr="00A536EB">
        <w:rPr>
          <w:sz w:val="23"/>
          <w:szCs w:val="23"/>
        </w:rPr>
        <w:t xml:space="preserve"> The Employer </w:t>
      </w:r>
      <w:r w:rsidR="00FA76C1" w:rsidRPr="00A536EB">
        <w:rPr>
          <w:sz w:val="23"/>
          <w:szCs w:val="23"/>
        </w:rPr>
        <w:t xml:space="preserve">first </w:t>
      </w:r>
      <w:r w:rsidR="00FF112D" w:rsidRPr="00A536EB">
        <w:rPr>
          <w:sz w:val="23"/>
          <w:szCs w:val="23"/>
        </w:rPr>
        <w:t xml:space="preserve">argued that </w:t>
      </w:r>
      <w:r w:rsidR="00A536EB" w:rsidRPr="00A536EB">
        <w:rPr>
          <w:sz w:val="23"/>
          <w:szCs w:val="23"/>
        </w:rPr>
        <w:t>on August 25, 201</w:t>
      </w:r>
      <w:r w:rsidR="00FA76C1" w:rsidRPr="00A536EB">
        <w:rPr>
          <w:sz w:val="23"/>
          <w:szCs w:val="23"/>
        </w:rPr>
        <w:t>1 Grievant engaged in a sexual act with his girlfriend</w:t>
      </w:r>
      <w:r w:rsidR="00506E73">
        <w:rPr>
          <w:sz w:val="23"/>
          <w:szCs w:val="23"/>
        </w:rPr>
        <w:t xml:space="preserve">. This charge stems from </w:t>
      </w:r>
      <w:r w:rsidR="00FA76C1" w:rsidRPr="00A536EB">
        <w:rPr>
          <w:sz w:val="23"/>
          <w:szCs w:val="23"/>
        </w:rPr>
        <w:t>a Facebook post by Grievant discussing how “HOT” it was that his girlfriend had an orgasm during his lunch break</w:t>
      </w:r>
      <w:r w:rsidR="00FF112D" w:rsidRPr="00A536EB">
        <w:rPr>
          <w:sz w:val="23"/>
          <w:szCs w:val="23"/>
        </w:rPr>
        <w:t xml:space="preserve">. The Employer </w:t>
      </w:r>
      <w:r w:rsidR="00FA76C1" w:rsidRPr="00A536EB">
        <w:rPr>
          <w:sz w:val="23"/>
          <w:szCs w:val="23"/>
        </w:rPr>
        <w:t xml:space="preserve">discussed how Grievant was </w:t>
      </w:r>
      <w:r w:rsidR="00C24833" w:rsidRPr="00A536EB">
        <w:rPr>
          <w:sz w:val="23"/>
          <w:szCs w:val="23"/>
        </w:rPr>
        <w:t>being paid to ea</w:t>
      </w:r>
      <w:r w:rsidR="00922787">
        <w:rPr>
          <w:sz w:val="23"/>
          <w:szCs w:val="23"/>
        </w:rPr>
        <w:t>t and not to watch a sexual act;</w:t>
      </w:r>
      <w:r w:rsidR="00C24833" w:rsidRPr="00A536EB">
        <w:rPr>
          <w:sz w:val="23"/>
          <w:szCs w:val="23"/>
        </w:rPr>
        <w:t xml:space="preserve"> the Division routinely discharges employees for watching pornography and having sex while on duty.  The Employer also argued that because Grievant lied about his participation in a terminable sexual encounter while on duty</w:t>
      </w:r>
      <w:r w:rsidR="00922787">
        <w:rPr>
          <w:sz w:val="23"/>
          <w:szCs w:val="23"/>
        </w:rPr>
        <w:t xml:space="preserve">.  Therefore, </w:t>
      </w:r>
      <w:r w:rsidR="00C24833" w:rsidRPr="00A536EB">
        <w:rPr>
          <w:sz w:val="23"/>
          <w:szCs w:val="23"/>
        </w:rPr>
        <w:t>his untruthfulness harms the integrity of the Division and justifies termination.</w:t>
      </w:r>
    </w:p>
    <w:p w:rsidR="00C24833" w:rsidRPr="00024D63" w:rsidRDefault="00C24833" w:rsidP="009E21E4">
      <w:pPr>
        <w:jc w:val="both"/>
        <w:rPr>
          <w:sz w:val="15"/>
          <w:szCs w:val="23"/>
        </w:rPr>
      </w:pPr>
    </w:p>
    <w:p w:rsidR="00FA76C1" w:rsidRPr="00A536EB" w:rsidRDefault="00FA76C1" w:rsidP="00FA76C1">
      <w:pPr>
        <w:jc w:val="both"/>
        <w:rPr>
          <w:sz w:val="23"/>
          <w:szCs w:val="23"/>
        </w:rPr>
      </w:pPr>
      <w:r w:rsidRPr="00A536EB">
        <w:rPr>
          <w:sz w:val="23"/>
          <w:szCs w:val="23"/>
        </w:rPr>
        <w:t xml:space="preserve">The Union argued that </w:t>
      </w:r>
      <w:r w:rsidR="00C24833" w:rsidRPr="00A536EB">
        <w:rPr>
          <w:sz w:val="23"/>
          <w:szCs w:val="23"/>
        </w:rPr>
        <w:t>watching a woman masturbate did not constitute a “sexual encounter</w:t>
      </w:r>
      <w:r w:rsidR="002154BC" w:rsidRPr="00A536EB">
        <w:rPr>
          <w:sz w:val="23"/>
          <w:szCs w:val="23"/>
        </w:rPr>
        <w:t>.</w:t>
      </w:r>
      <w:r w:rsidR="00C24833" w:rsidRPr="00A536EB">
        <w:rPr>
          <w:sz w:val="23"/>
          <w:szCs w:val="23"/>
        </w:rPr>
        <w:t xml:space="preserve">” </w:t>
      </w:r>
      <w:r w:rsidR="002154BC" w:rsidRPr="00A536EB">
        <w:rPr>
          <w:sz w:val="23"/>
          <w:szCs w:val="23"/>
        </w:rPr>
        <w:t xml:space="preserve"> The Union contends that a trooper’s obligation is to be in a position to respond to an emergency</w:t>
      </w:r>
      <w:r w:rsidR="00506E73">
        <w:rPr>
          <w:sz w:val="23"/>
          <w:szCs w:val="23"/>
        </w:rPr>
        <w:t>;</w:t>
      </w:r>
      <w:r w:rsidR="002154BC" w:rsidRPr="00A536EB">
        <w:rPr>
          <w:sz w:val="23"/>
          <w:szCs w:val="23"/>
        </w:rPr>
        <w:t xml:space="preserve"> beyond that, </w:t>
      </w:r>
      <w:r w:rsidR="00922787">
        <w:rPr>
          <w:sz w:val="23"/>
          <w:szCs w:val="23"/>
        </w:rPr>
        <w:t>a</w:t>
      </w:r>
      <w:r w:rsidR="002154BC" w:rsidRPr="00A536EB">
        <w:rPr>
          <w:sz w:val="23"/>
          <w:szCs w:val="23"/>
        </w:rPr>
        <w:t xml:space="preserve"> trooper is free to do what </w:t>
      </w:r>
      <w:r w:rsidR="00922787">
        <w:rPr>
          <w:sz w:val="23"/>
          <w:szCs w:val="23"/>
        </w:rPr>
        <w:t>he</w:t>
      </w:r>
      <w:r w:rsidR="002154BC" w:rsidRPr="00A536EB">
        <w:rPr>
          <w:sz w:val="23"/>
          <w:szCs w:val="23"/>
        </w:rPr>
        <w:t xml:space="preserve"> want</w:t>
      </w:r>
      <w:r w:rsidR="00922787">
        <w:rPr>
          <w:sz w:val="23"/>
          <w:szCs w:val="23"/>
        </w:rPr>
        <w:t>s</w:t>
      </w:r>
      <w:r w:rsidR="002154BC" w:rsidRPr="00A536EB">
        <w:rPr>
          <w:sz w:val="23"/>
          <w:szCs w:val="23"/>
        </w:rPr>
        <w:t xml:space="preserve"> during </w:t>
      </w:r>
      <w:r w:rsidR="00922787">
        <w:rPr>
          <w:sz w:val="23"/>
          <w:szCs w:val="23"/>
        </w:rPr>
        <w:t>his</w:t>
      </w:r>
      <w:r w:rsidR="002154BC" w:rsidRPr="00A536EB">
        <w:rPr>
          <w:sz w:val="23"/>
          <w:szCs w:val="23"/>
        </w:rPr>
        <w:t xml:space="preserve"> paid meal break.  Further, because Grievant did not participate in the “autoeroticism,” there was no sexual encounter </w:t>
      </w:r>
      <w:r w:rsidR="00506E73">
        <w:rPr>
          <w:sz w:val="23"/>
          <w:szCs w:val="23"/>
        </w:rPr>
        <w:t>within</w:t>
      </w:r>
      <w:r w:rsidR="002154BC" w:rsidRPr="00A536EB">
        <w:rPr>
          <w:sz w:val="23"/>
          <w:szCs w:val="23"/>
        </w:rPr>
        <w:t xml:space="preserve"> the common meaning of the term.  The Union also argued that Grievant did not lie because Grievant understood sexual encounter to mean something different than the Employer. </w:t>
      </w:r>
    </w:p>
    <w:p w:rsidR="00C24833" w:rsidRPr="00024D63" w:rsidRDefault="00C24833" w:rsidP="00C24833">
      <w:pPr>
        <w:ind w:firstLine="720"/>
        <w:jc w:val="both"/>
        <w:rPr>
          <w:sz w:val="15"/>
          <w:szCs w:val="23"/>
        </w:rPr>
      </w:pPr>
    </w:p>
    <w:p w:rsidR="00A536EB" w:rsidRPr="00A536EB" w:rsidRDefault="00F56C24" w:rsidP="00900430">
      <w:pPr>
        <w:jc w:val="both"/>
        <w:rPr>
          <w:sz w:val="23"/>
          <w:szCs w:val="23"/>
        </w:rPr>
      </w:pPr>
      <w:r w:rsidRPr="00A536EB">
        <w:rPr>
          <w:sz w:val="23"/>
          <w:szCs w:val="23"/>
        </w:rPr>
        <w:t xml:space="preserve">The Arbitrator </w:t>
      </w:r>
      <w:r w:rsidR="002154BC" w:rsidRPr="00A536EB">
        <w:rPr>
          <w:sz w:val="23"/>
          <w:szCs w:val="23"/>
        </w:rPr>
        <w:t xml:space="preserve">found that the Employer met the burden of proving that the alleged made a false statement in violation of the </w:t>
      </w:r>
      <w:r w:rsidR="006E499A">
        <w:rPr>
          <w:sz w:val="23"/>
          <w:szCs w:val="23"/>
        </w:rPr>
        <w:t>Rules</w:t>
      </w:r>
      <w:r w:rsidR="002154BC" w:rsidRPr="00A536EB">
        <w:rPr>
          <w:sz w:val="23"/>
          <w:szCs w:val="23"/>
        </w:rPr>
        <w:t xml:space="preserve">.  </w:t>
      </w:r>
      <w:r w:rsidR="00A536EB" w:rsidRPr="00A536EB">
        <w:rPr>
          <w:sz w:val="23"/>
          <w:szCs w:val="23"/>
        </w:rPr>
        <w:t xml:space="preserve">The Arbitrator found that </w:t>
      </w:r>
      <w:r w:rsidR="002154BC" w:rsidRPr="00A536EB">
        <w:rPr>
          <w:sz w:val="23"/>
          <w:szCs w:val="23"/>
        </w:rPr>
        <w:t xml:space="preserve">Grievant </w:t>
      </w:r>
      <w:proofErr w:type="gramStart"/>
      <w:r w:rsidR="002154BC" w:rsidRPr="00A536EB">
        <w:rPr>
          <w:sz w:val="23"/>
          <w:szCs w:val="23"/>
        </w:rPr>
        <w:t>lied</w:t>
      </w:r>
      <w:proofErr w:type="gramEnd"/>
      <w:r w:rsidR="002154BC" w:rsidRPr="00A536EB">
        <w:rPr>
          <w:sz w:val="23"/>
          <w:szCs w:val="23"/>
        </w:rPr>
        <w:t xml:space="preserve"> about the Facebo</w:t>
      </w:r>
      <w:r w:rsidR="00A536EB" w:rsidRPr="00A536EB">
        <w:rPr>
          <w:sz w:val="23"/>
          <w:szCs w:val="23"/>
        </w:rPr>
        <w:t xml:space="preserve">ok post </w:t>
      </w:r>
      <w:r w:rsidR="006E499A">
        <w:rPr>
          <w:sz w:val="23"/>
          <w:szCs w:val="23"/>
        </w:rPr>
        <w:t>in an attempt to cover</w:t>
      </w:r>
      <w:r w:rsidR="00A536EB" w:rsidRPr="00A536EB">
        <w:rPr>
          <w:sz w:val="23"/>
          <w:szCs w:val="23"/>
        </w:rPr>
        <w:t xml:space="preserve">-up </w:t>
      </w:r>
      <w:r w:rsidR="006E499A">
        <w:rPr>
          <w:sz w:val="23"/>
          <w:szCs w:val="23"/>
        </w:rPr>
        <w:t>his</w:t>
      </w:r>
      <w:r w:rsidR="00A536EB" w:rsidRPr="00A536EB">
        <w:rPr>
          <w:sz w:val="23"/>
          <w:szCs w:val="23"/>
        </w:rPr>
        <w:t xml:space="preserve"> </w:t>
      </w:r>
      <w:r w:rsidR="006E499A">
        <w:rPr>
          <w:sz w:val="23"/>
          <w:szCs w:val="23"/>
        </w:rPr>
        <w:t>terminable actions on</w:t>
      </w:r>
      <w:r w:rsidR="00A536EB" w:rsidRPr="00A536EB">
        <w:rPr>
          <w:sz w:val="23"/>
          <w:szCs w:val="23"/>
        </w:rPr>
        <w:t xml:space="preserve"> August 25, 2011.  However, the Arbitrator did not find just cause for the conduct unbecoming charge because Grievant did not have a sexual encounter while </w:t>
      </w:r>
      <w:r w:rsidR="006E499A">
        <w:rPr>
          <w:sz w:val="23"/>
          <w:szCs w:val="23"/>
        </w:rPr>
        <w:t xml:space="preserve">he was </w:t>
      </w:r>
      <w:r w:rsidR="00A536EB" w:rsidRPr="00A536EB">
        <w:rPr>
          <w:sz w:val="23"/>
          <w:szCs w:val="23"/>
        </w:rPr>
        <w:t>on a paid break.</w:t>
      </w:r>
    </w:p>
    <w:sectPr w:rsidR="00A536EB" w:rsidRPr="00A536EB" w:rsidSect="00C01A30">
      <w:pgSz w:w="12240" w:h="15840"/>
      <w:pgMar w:top="720" w:right="1296" w:bottom="720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C9C"/>
    <w:rsid w:val="00011752"/>
    <w:rsid w:val="00024D63"/>
    <w:rsid w:val="00027263"/>
    <w:rsid w:val="00041E10"/>
    <w:rsid w:val="00090511"/>
    <w:rsid w:val="000A3803"/>
    <w:rsid w:val="000C1092"/>
    <w:rsid w:val="000F16D8"/>
    <w:rsid w:val="00101653"/>
    <w:rsid w:val="00114C19"/>
    <w:rsid w:val="00145EB4"/>
    <w:rsid w:val="00150B77"/>
    <w:rsid w:val="00183B43"/>
    <w:rsid w:val="00194A0E"/>
    <w:rsid w:val="001A6F4C"/>
    <w:rsid w:val="001B2811"/>
    <w:rsid w:val="001B2FE2"/>
    <w:rsid w:val="002056BF"/>
    <w:rsid w:val="002154BC"/>
    <w:rsid w:val="00240EA9"/>
    <w:rsid w:val="00252C63"/>
    <w:rsid w:val="002920F5"/>
    <w:rsid w:val="002D51B2"/>
    <w:rsid w:val="00311C7E"/>
    <w:rsid w:val="00364B87"/>
    <w:rsid w:val="00384E3E"/>
    <w:rsid w:val="003A0F61"/>
    <w:rsid w:val="00400993"/>
    <w:rsid w:val="004265A5"/>
    <w:rsid w:val="0043333B"/>
    <w:rsid w:val="004736E8"/>
    <w:rsid w:val="004B064E"/>
    <w:rsid w:val="004D25C5"/>
    <w:rsid w:val="00506E73"/>
    <w:rsid w:val="005141E9"/>
    <w:rsid w:val="00542CDA"/>
    <w:rsid w:val="005A5E5C"/>
    <w:rsid w:val="005C27B8"/>
    <w:rsid w:val="005F7D6E"/>
    <w:rsid w:val="00601CAD"/>
    <w:rsid w:val="00617BDA"/>
    <w:rsid w:val="00624565"/>
    <w:rsid w:val="006274BC"/>
    <w:rsid w:val="00641968"/>
    <w:rsid w:val="00646AFD"/>
    <w:rsid w:val="00675D06"/>
    <w:rsid w:val="006D084B"/>
    <w:rsid w:val="006E499A"/>
    <w:rsid w:val="006F58E1"/>
    <w:rsid w:val="00711929"/>
    <w:rsid w:val="0073294E"/>
    <w:rsid w:val="00732C9C"/>
    <w:rsid w:val="00755580"/>
    <w:rsid w:val="00786891"/>
    <w:rsid w:val="007B47AD"/>
    <w:rsid w:val="007C2CE2"/>
    <w:rsid w:val="007D54D2"/>
    <w:rsid w:val="007F548D"/>
    <w:rsid w:val="00801333"/>
    <w:rsid w:val="008359CF"/>
    <w:rsid w:val="00874237"/>
    <w:rsid w:val="008A2EC0"/>
    <w:rsid w:val="00900430"/>
    <w:rsid w:val="00913DD9"/>
    <w:rsid w:val="00922787"/>
    <w:rsid w:val="009459B1"/>
    <w:rsid w:val="00973E8D"/>
    <w:rsid w:val="00975184"/>
    <w:rsid w:val="009A3C1C"/>
    <w:rsid w:val="009B2757"/>
    <w:rsid w:val="009C015E"/>
    <w:rsid w:val="009D5316"/>
    <w:rsid w:val="009E21E4"/>
    <w:rsid w:val="009F5999"/>
    <w:rsid w:val="009F66FE"/>
    <w:rsid w:val="00A03DCD"/>
    <w:rsid w:val="00A30A04"/>
    <w:rsid w:val="00A4574F"/>
    <w:rsid w:val="00A536EB"/>
    <w:rsid w:val="00AE2F2B"/>
    <w:rsid w:val="00B532C4"/>
    <w:rsid w:val="00B77AF4"/>
    <w:rsid w:val="00B860DF"/>
    <w:rsid w:val="00B9364E"/>
    <w:rsid w:val="00BA3DC3"/>
    <w:rsid w:val="00BB6D9F"/>
    <w:rsid w:val="00BE5B4C"/>
    <w:rsid w:val="00C01A30"/>
    <w:rsid w:val="00C24833"/>
    <w:rsid w:val="00C355CA"/>
    <w:rsid w:val="00C53503"/>
    <w:rsid w:val="00C61A8C"/>
    <w:rsid w:val="00C848E3"/>
    <w:rsid w:val="00C87111"/>
    <w:rsid w:val="00CA346A"/>
    <w:rsid w:val="00CA66B3"/>
    <w:rsid w:val="00CE4417"/>
    <w:rsid w:val="00CF3087"/>
    <w:rsid w:val="00D01E4F"/>
    <w:rsid w:val="00D14075"/>
    <w:rsid w:val="00D54355"/>
    <w:rsid w:val="00DA09B7"/>
    <w:rsid w:val="00DA48BF"/>
    <w:rsid w:val="00DB5E70"/>
    <w:rsid w:val="00E01FC6"/>
    <w:rsid w:val="00E103C7"/>
    <w:rsid w:val="00E33E99"/>
    <w:rsid w:val="00E71F19"/>
    <w:rsid w:val="00EA0993"/>
    <w:rsid w:val="00EE04EB"/>
    <w:rsid w:val="00F4317E"/>
    <w:rsid w:val="00F545E1"/>
    <w:rsid w:val="00F56C24"/>
    <w:rsid w:val="00F75695"/>
    <w:rsid w:val="00FA76C1"/>
    <w:rsid w:val="00FB1DE4"/>
    <w:rsid w:val="00FC2785"/>
    <w:rsid w:val="00FF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2C9C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2C9C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OCB AWARD NUMBER:</vt:lpstr>
    </vt:vector>
  </TitlesOfParts>
  <Company>State of Ohio</Company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OCB AWARD NUMBER:</dc:title>
  <dc:creator>DAS</dc:creator>
  <cp:lastModifiedBy>Cullen J. Jackson</cp:lastModifiedBy>
  <cp:revision>12</cp:revision>
  <cp:lastPrinted>2012-06-06T13:00:00Z</cp:lastPrinted>
  <dcterms:created xsi:type="dcterms:W3CDTF">2012-06-05T13:17:00Z</dcterms:created>
  <dcterms:modified xsi:type="dcterms:W3CDTF">2012-06-08T13:21:00Z</dcterms:modified>
</cp:coreProperties>
</file>