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Pr="00C94666" w:rsidRDefault="00732C9C" w:rsidP="00732C9C">
      <w:pPr>
        <w:jc w:val="center"/>
        <w:rPr>
          <w:b/>
          <w:sz w:val="22"/>
          <w:szCs w:val="22"/>
          <w:u w:val="single"/>
        </w:rPr>
      </w:pPr>
      <w:r w:rsidRPr="00C94666">
        <w:rPr>
          <w:b/>
          <w:sz w:val="22"/>
          <w:szCs w:val="22"/>
          <w:u w:val="single"/>
        </w:rPr>
        <w:t xml:space="preserve">OCB AWARD NUMBER: </w:t>
      </w:r>
      <w:r w:rsidR="0009712D" w:rsidRPr="00C94666">
        <w:rPr>
          <w:b/>
          <w:sz w:val="22"/>
          <w:szCs w:val="22"/>
          <w:u w:val="single"/>
        </w:rPr>
        <w:t>2122</w:t>
      </w:r>
    </w:p>
    <w:p w:rsidR="00732C9C" w:rsidRPr="00C94666" w:rsidRDefault="00732C9C" w:rsidP="00732C9C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156"/>
      </w:tblGrid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6156" w:type="dxa"/>
          </w:tcPr>
          <w:p w:rsidR="00732C9C" w:rsidRPr="00C94666" w:rsidRDefault="00732C9C" w:rsidP="00732C9C">
            <w:pPr>
              <w:rPr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 xml:space="preserve">ARB SUMMARY #  </w:t>
            </w:r>
            <w:r w:rsidR="0009712D" w:rsidRPr="00C94666">
              <w:rPr>
                <w:b/>
                <w:sz w:val="22"/>
                <w:szCs w:val="22"/>
              </w:rPr>
              <w:t>2122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TO:</w:t>
            </w:r>
          </w:p>
        </w:tc>
        <w:tc>
          <w:tcPr>
            <w:tcW w:w="6156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ALL ADVOCATES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FROM:</w:t>
            </w:r>
          </w:p>
        </w:tc>
        <w:tc>
          <w:tcPr>
            <w:tcW w:w="6156" w:type="dxa"/>
          </w:tcPr>
          <w:p w:rsidR="00732C9C" w:rsidRPr="00C94666" w:rsidRDefault="00B3259A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DAVID LONG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OCB GRIEVANCE NUMBER: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70-00-20101008-0001-01-09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DEPARTMENT: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Office of the Ohio Public Defender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UNION: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OCSEA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ARBITRATOR: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Craig A. Allen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GRIEVANT NAME: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Mary Emmons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MANAGEMENT ADVOCATE: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Katherine Nicholson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2ND CHAIR:</w:t>
            </w:r>
          </w:p>
        </w:tc>
        <w:tc>
          <w:tcPr>
            <w:tcW w:w="6156" w:type="dxa"/>
          </w:tcPr>
          <w:p w:rsidR="00732C9C" w:rsidRPr="00C94666" w:rsidRDefault="005448C7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Sharon Allison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UNION ADVOCATE: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Dan Ely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ARBITRATION DATE: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April 29, 2011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DECISION DATE: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May 9, 2011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DECISION: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DENIED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CONTRACT SECTIONS:</w:t>
            </w:r>
          </w:p>
        </w:tc>
        <w:tc>
          <w:tcPr>
            <w:tcW w:w="6156" w:type="dxa"/>
          </w:tcPr>
          <w:p w:rsidR="00732C9C" w:rsidRPr="00C94666" w:rsidRDefault="0009712D" w:rsidP="00732C9C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>Article 24.01; Article 24.02; Article 24.05</w:t>
            </w:r>
            <w:r w:rsidR="005448C7" w:rsidRPr="00C94666">
              <w:rPr>
                <w:sz w:val="22"/>
                <w:szCs w:val="22"/>
              </w:rPr>
              <w:t>; Article 24.06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  <w:r w:rsidRPr="00C94666">
              <w:rPr>
                <w:b/>
                <w:sz w:val="22"/>
                <w:szCs w:val="22"/>
              </w:rPr>
              <w:t>OCB RESEARCH CODES:</w:t>
            </w:r>
          </w:p>
        </w:tc>
        <w:tc>
          <w:tcPr>
            <w:tcW w:w="6156" w:type="dxa"/>
          </w:tcPr>
          <w:p w:rsidR="00732C9C" w:rsidRPr="00C94666" w:rsidRDefault="0009712D" w:rsidP="005448C7">
            <w:pPr>
              <w:ind w:left="432" w:hanging="432"/>
              <w:rPr>
                <w:sz w:val="22"/>
                <w:szCs w:val="22"/>
              </w:rPr>
            </w:pPr>
            <w:r w:rsidRPr="00C94666">
              <w:rPr>
                <w:sz w:val="22"/>
                <w:szCs w:val="22"/>
              </w:rPr>
              <w:t xml:space="preserve">118.01—Discipline-In General; 118.301—Progressive Discipline; </w:t>
            </w:r>
            <w:r w:rsidR="002270CB" w:rsidRPr="00C94666">
              <w:rPr>
                <w:sz w:val="22"/>
                <w:szCs w:val="22"/>
              </w:rPr>
              <w:t>115.2011—Flextime</w:t>
            </w:r>
            <w:r w:rsidR="005448C7" w:rsidRPr="00C94666">
              <w:rPr>
                <w:sz w:val="22"/>
                <w:szCs w:val="22"/>
              </w:rPr>
              <w:t>; 118.6368—AWOL</w:t>
            </w:r>
            <w:r w:rsidR="002270CB" w:rsidRPr="00C94666">
              <w:rPr>
                <w:sz w:val="22"/>
                <w:szCs w:val="22"/>
              </w:rPr>
              <w:t xml:space="preserve"> </w:t>
            </w:r>
          </w:p>
        </w:tc>
      </w:tr>
      <w:tr w:rsidR="00732C9C" w:rsidRPr="00C94666" w:rsidTr="00732C9C">
        <w:tc>
          <w:tcPr>
            <w:tcW w:w="3708" w:type="dxa"/>
          </w:tcPr>
          <w:p w:rsidR="00732C9C" w:rsidRPr="00C94666" w:rsidRDefault="00732C9C" w:rsidP="00732C9C">
            <w:pPr>
              <w:rPr>
                <w:b/>
                <w:sz w:val="22"/>
                <w:szCs w:val="22"/>
              </w:rPr>
            </w:pPr>
          </w:p>
        </w:tc>
        <w:tc>
          <w:tcPr>
            <w:tcW w:w="6156" w:type="dxa"/>
          </w:tcPr>
          <w:p w:rsidR="00732C9C" w:rsidRPr="00C94666" w:rsidRDefault="00732C9C" w:rsidP="00012C83">
            <w:pPr>
              <w:rPr>
                <w:sz w:val="22"/>
                <w:szCs w:val="22"/>
              </w:rPr>
            </w:pPr>
          </w:p>
        </w:tc>
      </w:tr>
    </w:tbl>
    <w:p w:rsidR="00732C9C" w:rsidRPr="00C94666" w:rsidRDefault="00732C9C" w:rsidP="00732C9C">
      <w:pPr>
        <w:rPr>
          <w:b/>
          <w:sz w:val="23"/>
          <w:szCs w:val="23"/>
        </w:rPr>
      </w:pPr>
      <w:r w:rsidRPr="00C94666">
        <w:rPr>
          <w:b/>
          <w:sz w:val="23"/>
          <w:szCs w:val="23"/>
        </w:rPr>
        <w:t xml:space="preserve">HOLDING: </w:t>
      </w:r>
      <w:r w:rsidRPr="00C94666">
        <w:rPr>
          <w:b/>
          <w:sz w:val="23"/>
          <w:szCs w:val="23"/>
        </w:rPr>
        <w:tab/>
      </w:r>
      <w:r w:rsidR="00641968" w:rsidRPr="00C94666">
        <w:rPr>
          <w:b/>
          <w:sz w:val="23"/>
          <w:szCs w:val="23"/>
        </w:rPr>
        <w:t>Grievance DENIED.  The Arbitrator found</w:t>
      </w:r>
      <w:r w:rsidR="002270CB" w:rsidRPr="00C94666">
        <w:rPr>
          <w:b/>
          <w:sz w:val="23"/>
          <w:szCs w:val="23"/>
        </w:rPr>
        <w:t xml:space="preserve"> that the</w:t>
      </w:r>
      <w:r w:rsidR="005F4E75" w:rsidRPr="00C94666">
        <w:rPr>
          <w:b/>
          <w:sz w:val="23"/>
          <w:szCs w:val="23"/>
        </w:rPr>
        <w:t>re was just cause to remove Grievant</w:t>
      </w:r>
      <w:r w:rsidR="005448C7" w:rsidRPr="00C94666">
        <w:rPr>
          <w:b/>
          <w:sz w:val="23"/>
          <w:szCs w:val="23"/>
        </w:rPr>
        <w:t xml:space="preserve"> because Grievant had clear notice of work expectations regarding time away</w:t>
      </w:r>
      <w:r w:rsidR="00B12610">
        <w:rPr>
          <w:b/>
          <w:sz w:val="23"/>
          <w:szCs w:val="23"/>
        </w:rPr>
        <w:t>,</w:t>
      </w:r>
      <w:r w:rsidR="005448C7" w:rsidRPr="00C94666">
        <w:rPr>
          <w:b/>
          <w:sz w:val="23"/>
          <w:szCs w:val="23"/>
        </w:rPr>
        <w:t xml:space="preserve"> and the Employer made multiple attempts to counsel the Grievant before she was removed</w:t>
      </w:r>
      <w:r w:rsidR="005F4E75" w:rsidRPr="00C94666">
        <w:rPr>
          <w:b/>
          <w:sz w:val="23"/>
          <w:szCs w:val="23"/>
        </w:rPr>
        <w:t>.</w:t>
      </w:r>
      <w:r w:rsidR="005448C7" w:rsidRPr="00C94666">
        <w:rPr>
          <w:b/>
          <w:sz w:val="23"/>
          <w:szCs w:val="23"/>
        </w:rPr>
        <w:t xml:space="preserve">  Although the Employer used a different discipline grid than other state agencies, the Employer</w:t>
      </w:r>
      <w:r w:rsidR="00396C68" w:rsidRPr="00C94666">
        <w:rPr>
          <w:b/>
          <w:sz w:val="23"/>
          <w:szCs w:val="23"/>
        </w:rPr>
        <w:t>’s grid is not unreasonable given the critical nature of the work and impact that call-offs had on office productivity.</w:t>
      </w:r>
    </w:p>
    <w:p w:rsidR="00641968" w:rsidRPr="00C94666" w:rsidRDefault="00641968" w:rsidP="00732C9C">
      <w:pPr>
        <w:rPr>
          <w:b/>
          <w:sz w:val="23"/>
          <w:szCs w:val="23"/>
        </w:rPr>
      </w:pPr>
    </w:p>
    <w:p w:rsidR="00641968" w:rsidRPr="00C94666" w:rsidRDefault="00C24027" w:rsidP="00732C9C">
      <w:pPr>
        <w:rPr>
          <w:sz w:val="23"/>
          <w:szCs w:val="23"/>
        </w:rPr>
      </w:pPr>
      <w:r w:rsidRPr="00C94666">
        <w:rPr>
          <w:sz w:val="23"/>
          <w:szCs w:val="23"/>
        </w:rPr>
        <w:t>Grievant was removed for violation of Rule 13(c) of the Agency Work Rules. The Grievant is one of</w:t>
      </w:r>
      <w:r w:rsidR="00E43C0F" w:rsidRPr="00C94666">
        <w:rPr>
          <w:sz w:val="23"/>
          <w:szCs w:val="23"/>
        </w:rPr>
        <w:t xml:space="preserve"> four Secretaries </w:t>
      </w:r>
      <w:r w:rsidR="00BC0321" w:rsidRPr="00C94666">
        <w:rPr>
          <w:sz w:val="23"/>
          <w:szCs w:val="23"/>
        </w:rPr>
        <w:t>at the Ohio Public Defender</w:t>
      </w:r>
      <w:r w:rsidR="00AE2A30">
        <w:rPr>
          <w:sz w:val="23"/>
          <w:szCs w:val="23"/>
        </w:rPr>
        <w:t>,</w:t>
      </w:r>
      <w:r w:rsidR="00BC0321" w:rsidRPr="00C94666">
        <w:rPr>
          <w:sz w:val="23"/>
          <w:szCs w:val="23"/>
        </w:rPr>
        <w:t xml:space="preserve"> </w:t>
      </w:r>
      <w:r w:rsidR="00E43C0F" w:rsidRPr="00C94666">
        <w:rPr>
          <w:sz w:val="23"/>
          <w:szCs w:val="23"/>
        </w:rPr>
        <w:t>in a very time sensitive position where a single absence results in the other secretaries being overloaded</w:t>
      </w:r>
      <w:r w:rsidRPr="00C94666">
        <w:rPr>
          <w:sz w:val="23"/>
          <w:szCs w:val="23"/>
        </w:rPr>
        <w:t xml:space="preserve">. </w:t>
      </w:r>
      <w:r w:rsidR="00AE2A30">
        <w:rPr>
          <w:sz w:val="23"/>
          <w:szCs w:val="23"/>
        </w:rPr>
        <w:t xml:space="preserve"> </w:t>
      </w:r>
      <w:r w:rsidR="00012C83" w:rsidRPr="00C94666">
        <w:rPr>
          <w:sz w:val="23"/>
          <w:szCs w:val="23"/>
        </w:rPr>
        <w:t>Increasingly,</w:t>
      </w:r>
      <w:r w:rsidRPr="00C94666">
        <w:rPr>
          <w:sz w:val="23"/>
          <w:szCs w:val="23"/>
        </w:rPr>
        <w:t xml:space="preserve"> Grievant </w:t>
      </w:r>
      <w:r w:rsidR="00012C83" w:rsidRPr="00C94666">
        <w:rPr>
          <w:sz w:val="23"/>
          <w:szCs w:val="23"/>
        </w:rPr>
        <w:t xml:space="preserve">began to call </w:t>
      </w:r>
      <w:r w:rsidR="00523ADE" w:rsidRPr="00C94666">
        <w:rPr>
          <w:sz w:val="23"/>
          <w:szCs w:val="23"/>
        </w:rPr>
        <w:t xml:space="preserve">off </w:t>
      </w:r>
      <w:r w:rsidR="00012C83" w:rsidRPr="00C94666">
        <w:rPr>
          <w:sz w:val="23"/>
          <w:szCs w:val="23"/>
        </w:rPr>
        <w:t>from</w:t>
      </w:r>
      <w:r w:rsidR="00523ADE" w:rsidRPr="00C94666">
        <w:rPr>
          <w:sz w:val="23"/>
          <w:szCs w:val="23"/>
        </w:rPr>
        <w:t xml:space="preserve"> work and exhausted her leave balance.  Grievant was</w:t>
      </w:r>
      <w:r w:rsidR="00E43C0F" w:rsidRPr="00C94666">
        <w:rPr>
          <w:sz w:val="23"/>
          <w:szCs w:val="23"/>
        </w:rPr>
        <w:t xml:space="preserve"> counseled</w:t>
      </w:r>
      <w:r w:rsidR="00523ADE" w:rsidRPr="00C94666">
        <w:rPr>
          <w:sz w:val="23"/>
          <w:szCs w:val="23"/>
        </w:rPr>
        <w:t xml:space="preserve"> by her supervisor and Human Resources</w:t>
      </w:r>
      <w:r w:rsidR="00E43C0F" w:rsidRPr="00C94666">
        <w:rPr>
          <w:sz w:val="23"/>
          <w:szCs w:val="23"/>
        </w:rPr>
        <w:t xml:space="preserve"> on numerous occasions about her </w:t>
      </w:r>
      <w:r w:rsidR="00523ADE" w:rsidRPr="00C94666">
        <w:rPr>
          <w:sz w:val="23"/>
          <w:szCs w:val="23"/>
        </w:rPr>
        <w:t>absences</w:t>
      </w:r>
      <w:r w:rsidR="00AE2A30">
        <w:rPr>
          <w:sz w:val="23"/>
          <w:szCs w:val="23"/>
        </w:rPr>
        <w:t>,</w:t>
      </w:r>
      <w:r w:rsidR="00523ADE" w:rsidRPr="00C94666">
        <w:rPr>
          <w:sz w:val="23"/>
          <w:szCs w:val="23"/>
        </w:rPr>
        <w:t xml:space="preserve"> and she was aware that future absences would result in unpaid leave status for that time away.  </w:t>
      </w:r>
      <w:r w:rsidR="00210B09" w:rsidRPr="00C94666">
        <w:rPr>
          <w:sz w:val="23"/>
          <w:szCs w:val="23"/>
        </w:rPr>
        <w:t xml:space="preserve">Following this, Grievant was away without leave (AWOL) in May and again in June, and was notified </w:t>
      </w:r>
      <w:r w:rsidR="00B12610">
        <w:rPr>
          <w:sz w:val="23"/>
          <w:szCs w:val="23"/>
        </w:rPr>
        <w:t xml:space="preserve">that </w:t>
      </w:r>
      <w:r w:rsidR="00210B09" w:rsidRPr="00C94666">
        <w:rPr>
          <w:sz w:val="23"/>
          <w:szCs w:val="23"/>
        </w:rPr>
        <w:t>if she was AWOL again she would be discipline</w:t>
      </w:r>
      <w:r w:rsidR="00C121D5" w:rsidRPr="00C94666">
        <w:rPr>
          <w:sz w:val="23"/>
          <w:szCs w:val="23"/>
        </w:rPr>
        <w:t>d</w:t>
      </w:r>
      <w:r w:rsidR="00210B09" w:rsidRPr="00C94666">
        <w:rPr>
          <w:sz w:val="23"/>
          <w:szCs w:val="23"/>
        </w:rPr>
        <w:t>.  In September</w:t>
      </w:r>
      <w:r w:rsidR="002270CB" w:rsidRPr="00C94666">
        <w:rPr>
          <w:sz w:val="23"/>
          <w:szCs w:val="23"/>
        </w:rPr>
        <w:t xml:space="preserve">, Grievant </w:t>
      </w:r>
      <w:r w:rsidR="007709AC" w:rsidRPr="00C94666">
        <w:rPr>
          <w:sz w:val="23"/>
          <w:szCs w:val="23"/>
        </w:rPr>
        <w:t>was removed</w:t>
      </w:r>
      <w:r w:rsidR="00F61DFF" w:rsidRPr="00C94666">
        <w:rPr>
          <w:sz w:val="23"/>
          <w:szCs w:val="23"/>
        </w:rPr>
        <w:t xml:space="preserve"> for </w:t>
      </w:r>
      <w:r w:rsidR="00210B09" w:rsidRPr="00C94666">
        <w:rPr>
          <w:sz w:val="23"/>
          <w:szCs w:val="23"/>
        </w:rPr>
        <w:t xml:space="preserve">being </w:t>
      </w:r>
      <w:r w:rsidR="00F61DFF" w:rsidRPr="00C94666">
        <w:rPr>
          <w:sz w:val="23"/>
          <w:szCs w:val="23"/>
        </w:rPr>
        <w:t>AWOL</w:t>
      </w:r>
      <w:r w:rsidR="00210B09" w:rsidRPr="00C94666">
        <w:rPr>
          <w:sz w:val="23"/>
          <w:szCs w:val="23"/>
        </w:rPr>
        <w:t xml:space="preserve"> </w:t>
      </w:r>
      <w:r w:rsidR="00C121D5" w:rsidRPr="00C94666">
        <w:rPr>
          <w:sz w:val="23"/>
          <w:szCs w:val="23"/>
        </w:rPr>
        <w:t>per Rule 13(c)</w:t>
      </w:r>
      <w:r w:rsidR="00012C83" w:rsidRPr="00C94666">
        <w:rPr>
          <w:sz w:val="23"/>
          <w:szCs w:val="23"/>
        </w:rPr>
        <w:t xml:space="preserve"> which provides for automatic removal when an employee is AWOL for three or more days</w:t>
      </w:r>
      <w:r w:rsidR="00C121D5" w:rsidRPr="00C94666">
        <w:rPr>
          <w:sz w:val="23"/>
          <w:szCs w:val="23"/>
        </w:rPr>
        <w:t>.</w:t>
      </w:r>
    </w:p>
    <w:p w:rsidR="00641968" w:rsidRPr="00C94666" w:rsidRDefault="00641968" w:rsidP="00732C9C">
      <w:pPr>
        <w:rPr>
          <w:b/>
          <w:sz w:val="23"/>
          <w:szCs w:val="23"/>
        </w:rPr>
      </w:pPr>
    </w:p>
    <w:p w:rsidR="000F4932" w:rsidRPr="00C94666" w:rsidRDefault="000F4932" w:rsidP="000F4932">
      <w:pPr>
        <w:rPr>
          <w:sz w:val="23"/>
          <w:szCs w:val="23"/>
        </w:rPr>
      </w:pPr>
      <w:r w:rsidRPr="00C94666">
        <w:rPr>
          <w:sz w:val="23"/>
          <w:szCs w:val="23"/>
        </w:rPr>
        <w:t>The Employer argued</w:t>
      </w:r>
      <w:r w:rsidRPr="00C94666">
        <w:rPr>
          <w:b/>
          <w:sz w:val="23"/>
          <w:szCs w:val="23"/>
        </w:rPr>
        <w:t xml:space="preserve"> </w:t>
      </w:r>
      <w:r w:rsidRPr="00C94666">
        <w:rPr>
          <w:sz w:val="23"/>
          <w:szCs w:val="23"/>
        </w:rPr>
        <w:t xml:space="preserve">the Grievant had a critical job </w:t>
      </w:r>
      <w:r w:rsidR="00C121D5" w:rsidRPr="00C94666">
        <w:rPr>
          <w:sz w:val="23"/>
          <w:szCs w:val="23"/>
        </w:rPr>
        <w:t>that was time sensitive.  The employer testified that they chose to rely on counseling</w:t>
      </w:r>
      <w:r w:rsidR="00012C83" w:rsidRPr="00C94666">
        <w:rPr>
          <w:sz w:val="23"/>
          <w:szCs w:val="23"/>
        </w:rPr>
        <w:t>,</w:t>
      </w:r>
      <w:r w:rsidR="00C121D5" w:rsidRPr="00C94666">
        <w:rPr>
          <w:sz w:val="23"/>
          <w:szCs w:val="23"/>
        </w:rPr>
        <w:t xml:space="preserve"> as opposed to discipline</w:t>
      </w:r>
      <w:r w:rsidR="00012C83" w:rsidRPr="00C94666">
        <w:rPr>
          <w:sz w:val="23"/>
          <w:szCs w:val="23"/>
        </w:rPr>
        <w:t>,</w:t>
      </w:r>
      <w:r w:rsidR="00C121D5" w:rsidRPr="00C94666">
        <w:rPr>
          <w:sz w:val="23"/>
          <w:szCs w:val="23"/>
        </w:rPr>
        <w:t xml:space="preserve"> earlier on to correct the behavior.  Overall, Grievant did a good job at work and her only issues dealt with unapproved absenteeism</w:t>
      </w:r>
      <w:r w:rsidRPr="00C94666">
        <w:rPr>
          <w:sz w:val="23"/>
          <w:szCs w:val="23"/>
        </w:rPr>
        <w:t xml:space="preserve">. </w:t>
      </w:r>
      <w:r w:rsidR="00C121D5" w:rsidRPr="00C94666">
        <w:rPr>
          <w:sz w:val="23"/>
          <w:szCs w:val="23"/>
        </w:rPr>
        <w:t>E</w:t>
      </w:r>
      <w:r w:rsidRPr="00C94666">
        <w:rPr>
          <w:sz w:val="23"/>
          <w:szCs w:val="23"/>
        </w:rPr>
        <w:t>arlier incidents were not as serious</w:t>
      </w:r>
      <w:r w:rsidR="00C121D5" w:rsidRPr="00C94666">
        <w:rPr>
          <w:sz w:val="23"/>
          <w:szCs w:val="23"/>
        </w:rPr>
        <w:t xml:space="preserve"> but her absenteeism became more frequent. </w:t>
      </w:r>
      <w:r w:rsidRPr="00C94666">
        <w:rPr>
          <w:sz w:val="23"/>
          <w:szCs w:val="23"/>
        </w:rPr>
        <w:t xml:space="preserve"> The Grievant was warned by the Employer that the next time she was AWOL she would be removed.</w:t>
      </w:r>
      <w:r w:rsidR="00AE2A30">
        <w:rPr>
          <w:sz w:val="23"/>
          <w:szCs w:val="23"/>
        </w:rPr>
        <w:t xml:space="preserve"> </w:t>
      </w:r>
      <w:r w:rsidRPr="00C94666">
        <w:rPr>
          <w:sz w:val="23"/>
          <w:szCs w:val="23"/>
        </w:rPr>
        <w:t xml:space="preserve"> </w:t>
      </w:r>
      <w:r w:rsidR="00BC0321" w:rsidRPr="00C94666">
        <w:rPr>
          <w:sz w:val="23"/>
          <w:szCs w:val="23"/>
        </w:rPr>
        <w:t>Grievant acknowledged that she did not have leave time and was aware of the discipline process, which included Rule 13(c). Grievant was then AWOL for three days and terminated.</w:t>
      </w:r>
    </w:p>
    <w:p w:rsidR="000F4932" w:rsidRPr="00C94666" w:rsidRDefault="000F4932" w:rsidP="00732C9C">
      <w:pPr>
        <w:rPr>
          <w:b/>
          <w:sz w:val="23"/>
          <w:szCs w:val="23"/>
        </w:rPr>
      </w:pPr>
    </w:p>
    <w:p w:rsidR="00641968" w:rsidRPr="00C94666" w:rsidRDefault="00641968" w:rsidP="00732C9C">
      <w:pPr>
        <w:rPr>
          <w:sz w:val="23"/>
          <w:szCs w:val="23"/>
        </w:rPr>
      </w:pPr>
      <w:r w:rsidRPr="00C94666">
        <w:rPr>
          <w:sz w:val="23"/>
          <w:szCs w:val="23"/>
        </w:rPr>
        <w:t>The Union argued</w:t>
      </w:r>
      <w:r w:rsidR="002E3658" w:rsidRPr="00C94666">
        <w:rPr>
          <w:b/>
          <w:sz w:val="23"/>
          <w:szCs w:val="23"/>
        </w:rPr>
        <w:t xml:space="preserve"> </w:t>
      </w:r>
      <w:r w:rsidR="002E3658" w:rsidRPr="00C94666">
        <w:rPr>
          <w:sz w:val="23"/>
          <w:szCs w:val="23"/>
        </w:rPr>
        <w:t>that starting with Removal</w:t>
      </w:r>
      <w:r w:rsidR="00E24852" w:rsidRPr="00C94666">
        <w:rPr>
          <w:sz w:val="23"/>
          <w:szCs w:val="23"/>
        </w:rPr>
        <w:t xml:space="preserve"> for being AWOL</w:t>
      </w:r>
      <w:r w:rsidR="002E3658" w:rsidRPr="00C94666">
        <w:rPr>
          <w:sz w:val="23"/>
          <w:szCs w:val="23"/>
        </w:rPr>
        <w:t xml:space="preserve"> is unusual.</w:t>
      </w:r>
      <w:r w:rsidR="00AE2A30">
        <w:rPr>
          <w:sz w:val="23"/>
          <w:szCs w:val="23"/>
        </w:rPr>
        <w:t xml:space="preserve"> </w:t>
      </w:r>
      <w:r w:rsidR="002E3658" w:rsidRPr="00C94666">
        <w:rPr>
          <w:sz w:val="23"/>
          <w:szCs w:val="23"/>
        </w:rPr>
        <w:t xml:space="preserve"> Grievant </w:t>
      </w:r>
      <w:r w:rsidR="00BC0321" w:rsidRPr="00C94666">
        <w:rPr>
          <w:sz w:val="23"/>
          <w:szCs w:val="23"/>
        </w:rPr>
        <w:t xml:space="preserve">claims she </w:t>
      </w:r>
      <w:r w:rsidR="002E3658" w:rsidRPr="00C94666">
        <w:rPr>
          <w:sz w:val="23"/>
          <w:szCs w:val="23"/>
        </w:rPr>
        <w:t>was being sent mixed messages because</w:t>
      </w:r>
      <w:r w:rsidR="00BC0321" w:rsidRPr="00C94666">
        <w:rPr>
          <w:sz w:val="23"/>
          <w:szCs w:val="23"/>
        </w:rPr>
        <w:t xml:space="preserve"> the Employer was too lax in its policies</w:t>
      </w:r>
      <w:r w:rsidR="002E3658" w:rsidRPr="00C94666">
        <w:rPr>
          <w:sz w:val="23"/>
          <w:szCs w:val="23"/>
        </w:rPr>
        <w:t xml:space="preserve"> </w:t>
      </w:r>
      <w:r w:rsidR="00BC0321" w:rsidRPr="00C94666">
        <w:rPr>
          <w:sz w:val="23"/>
          <w:szCs w:val="23"/>
        </w:rPr>
        <w:t>and did not</w:t>
      </w:r>
      <w:r w:rsidR="002E3658" w:rsidRPr="00C94666">
        <w:rPr>
          <w:sz w:val="23"/>
          <w:szCs w:val="23"/>
        </w:rPr>
        <w:t xml:space="preserve"> discipline</w:t>
      </w:r>
      <w:r w:rsidR="00BC0321" w:rsidRPr="00C94666">
        <w:rPr>
          <w:sz w:val="23"/>
          <w:szCs w:val="23"/>
        </w:rPr>
        <w:t xml:space="preserve"> her in earlier situations for going into unpaid leave status</w:t>
      </w:r>
      <w:r w:rsidR="00E24852" w:rsidRPr="00C94666">
        <w:rPr>
          <w:sz w:val="23"/>
          <w:szCs w:val="23"/>
        </w:rPr>
        <w:t>; thus, Grievant believed her behaviors would be tolerated</w:t>
      </w:r>
      <w:r w:rsidR="002E3658" w:rsidRPr="00C94666">
        <w:rPr>
          <w:sz w:val="23"/>
          <w:szCs w:val="23"/>
        </w:rPr>
        <w:t xml:space="preserve">. </w:t>
      </w:r>
      <w:r w:rsidR="00F53A2D" w:rsidRPr="00C94666">
        <w:rPr>
          <w:sz w:val="23"/>
          <w:szCs w:val="23"/>
        </w:rPr>
        <w:t xml:space="preserve"> </w:t>
      </w:r>
      <w:r w:rsidR="002E3658" w:rsidRPr="00C94666">
        <w:rPr>
          <w:sz w:val="23"/>
          <w:szCs w:val="23"/>
        </w:rPr>
        <w:t xml:space="preserve"> </w:t>
      </w:r>
    </w:p>
    <w:p w:rsidR="00641968" w:rsidRPr="00C94666" w:rsidRDefault="00641968" w:rsidP="00732C9C">
      <w:pPr>
        <w:rPr>
          <w:b/>
          <w:sz w:val="23"/>
          <w:szCs w:val="23"/>
        </w:rPr>
      </w:pPr>
    </w:p>
    <w:p w:rsidR="00641968" w:rsidRPr="00C94666" w:rsidRDefault="00641968" w:rsidP="00732C9C">
      <w:pPr>
        <w:rPr>
          <w:sz w:val="23"/>
          <w:szCs w:val="23"/>
        </w:rPr>
      </w:pPr>
      <w:r w:rsidRPr="00C94666">
        <w:rPr>
          <w:sz w:val="23"/>
          <w:szCs w:val="23"/>
        </w:rPr>
        <w:t>The Arbitrator found</w:t>
      </w:r>
      <w:r w:rsidRPr="00C94666">
        <w:rPr>
          <w:b/>
          <w:sz w:val="23"/>
          <w:szCs w:val="23"/>
        </w:rPr>
        <w:t xml:space="preserve"> </w:t>
      </w:r>
      <w:r w:rsidR="002E3658" w:rsidRPr="00C94666">
        <w:rPr>
          <w:sz w:val="23"/>
          <w:szCs w:val="23"/>
        </w:rPr>
        <w:t>that the operational needs of Agencies differ</w:t>
      </w:r>
      <w:r w:rsidR="00012C83" w:rsidRPr="00C94666">
        <w:rPr>
          <w:sz w:val="23"/>
          <w:szCs w:val="23"/>
        </w:rPr>
        <w:t xml:space="preserve"> and the Ohio Public Defender’s Rule 13(c) is reasonable</w:t>
      </w:r>
      <w:r w:rsidR="002E3658" w:rsidRPr="00C94666">
        <w:rPr>
          <w:sz w:val="23"/>
          <w:szCs w:val="23"/>
        </w:rPr>
        <w:t>.</w:t>
      </w:r>
      <w:r w:rsidR="00AE2A30">
        <w:rPr>
          <w:sz w:val="23"/>
          <w:szCs w:val="23"/>
        </w:rPr>
        <w:t xml:space="preserve"> </w:t>
      </w:r>
      <w:r w:rsidR="002E3658" w:rsidRPr="00C94666">
        <w:rPr>
          <w:sz w:val="23"/>
          <w:szCs w:val="23"/>
        </w:rPr>
        <w:t xml:space="preserve"> The too lax argument by the Union is out weighed by the extensive evidence of counseling </w:t>
      </w:r>
      <w:r w:rsidR="00012C83" w:rsidRPr="00C94666">
        <w:rPr>
          <w:sz w:val="23"/>
          <w:szCs w:val="23"/>
        </w:rPr>
        <w:t xml:space="preserve">and warnings </w:t>
      </w:r>
      <w:r w:rsidR="002E3658" w:rsidRPr="00C94666">
        <w:rPr>
          <w:sz w:val="23"/>
          <w:szCs w:val="23"/>
        </w:rPr>
        <w:t>given to Grievant</w:t>
      </w:r>
      <w:r w:rsidR="00C94666" w:rsidRPr="00C94666">
        <w:rPr>
          <w:sz w:val="23"/>
          <w:szCs w:val="23"/>
        </w:rPr>
        <w:t>, and</w:t>
      </w:r>
      <w:r w:rsidR="002E3658" w:rsidRPr="00C94666">
        <w:rPr>
          <w:sz w:val="23"/>
          <w:szCs w:val="23"/>
        </w:rPr>
        <w:t xml:space="preserve"> </w:t>
      </w:r>
      <w:r w:rsidR="00C94666" w:rsidRPr="00C94666">
        <w:rPr>
          <w:sz w:val="23"/>
          <w:szCs w:val="23"/>
        </w:rPr>
        <w:t xml:space="preserve">that </w:t>
      </w:r>
      <w:r w:rsidR="002E3658" w:rsidRPr="00C94666">
        <w:rPr>
          <w:sz w:val="23"/>
          <w:szCs w:val="23"/>
        </w:rPr>
        <w:t xml:space="preserve">Grievant </w:t>
      </w:r>
      <w:r w:rsidR="00C94666" w:rsidRPr="00C94666">
        <w:rPr>
          <w:sz w:val="23"/>
          <w:szCs w:val="23"/>
        </w:rPr>
        <w:t>was aware</w:t>
      </w:r>
      <w:r w:rsidR="00012C83" w:rsidRPr="00C94666">
        <w:rPr>
          <w:sz w:val="23"/>
          <w:szCs w:val="23"/>
        </w:rPr>
        <w:t xml:space="preserve"> that </w:t>
      </w:r>
      <w:r w:rsidR="00C94666" w:rsidRPr="00C94666">
        <w:rPr>
          <w:sz w:val="23"/>
          <w:szCs w:val="23"/>
        </w:rPr>
        <w:t xml:space="preserve">any </w:t>
      </w:r>
      <w:r w:rsidR="00012C83" w:rsidRPr="00C94666">
        <w:rPr>
          <w:sz w:val="23"/>
          <w:szCs w:val="23"/>
        </w:rPr>
        <w:t>further infractions would result in discipline.</w:t>
      </w:r>
      <w:r w:rsidR="00AE2A30">
        <w:rPr>
          <w:sz w:val="23"/>
          <w:szCs w:val="23"/>
        </w:rPr>
        <w:t xml:space="preserve"> </w:t>
      </w:r>
      <w:r w:rsidR="00012C83" w:rsidRPr="00C94666">
        <w:rPr>
          <w:sz w:val="23"/>
          <w:szCs w:val="23"/>
        </w:rPr>
        <w:t xml:space="preserve"> It is unlikely that fines or a short term suspension would have changed Grievant’s behavior</w:t>
      </w:r>
      <w:r w:rsidR="00B12610">
        <w:rPr>
          <w:sz w:val="23"/>
          <w:szCs w:val="23"/>
        </w:rPr>
        <w:t>,</w:t>
      </w:r>
      <w:r w:rsidR="00012C83" w:rsidRPr="00C94666">
        <w:rPr>
          <w:sz w:val="23"/>
          <w:szCs w:val="23"/>
        </w:rPr>
        <w:t xml:space="preserve"> given her track record following all the </w:t>
      </w:r>
      <w:r w:rsidR="002E3658" w:rsidRPr="00C94666">
        <w:rPr>
          <w:sz w:val="23"/>
          <w:szCs w:val="23"/>
        </w:rPr>
        <w:t>couns</w:t>
      </w:r>
      <w:r w:rsidR="00012C83" w:rsidRPr="00C94666">
        <w:rPr>
          <w:sz w:val="23"/>
          <w:szCs w:val="23"/>
        </w:rPr>
        <w:t>eling and warnings.</w:t>
      </w:r>
      <w:r w:rsidR="00AE2A30">
        <w:rPr>
          <w:sz w:val="23"/>
          <w:szCs w:val="23"/>
        </w:rPr>
        <w:t xml:space="preserve">  </w:t>
      </w:r>
      <w:r w:rsidR="00216CC9">
        <w:rPr>
          <w:sz w:val="23"/>
          <w:szCs w:val="23"/>
        </w:rPr>
        <w:t xml:space="preserve"> </w:t>
      </w:r>
      <w:bookmarkStart w:id="0" w:name="_GoBack"/>
      <w:bookmarkEnd w:id="0"/>
      <w:r w:rsidR="00012C83" w:rsidRPr="00C94666">
        <w:rPr>
          <w:sz w:val="23"/>
          <w:szCs w:val="23"/>
        </w:rPr>
        <w:t>Therefore, t</w:t>
      </w:r>
      <w:r w:rsidR="002E3658" w:rsidRPr="00C94666">
        <w:rPr>
          <w:sz w:val="23"/>
          <w:szCs w:val="23"/>
        </w:rPr>
        <w:t xml:space="preserve">he grievance is denied. </w:t>
      </w:r>
    </w:p>
    <w:p w:rsidR="00C94666" w:rsidRPr="00C94666" w:rsidRDefault="00C94666">
      <w:pPr>
        <w:rPr>
          <w:sz w:val="22"/>
          <w:szCs w:val="22"/>
        </w:rPr>
      </w:pPr>
    </w:p>
    <w:sectPr w:rsidR="00C94666" w:rsidRPr="00C94666" w:rsidSect="00C9466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12C83"/>
    <w:rsid w:val="0009712D"/>
    <w:rsid w:val="000F4932"/>
    <w:rsid w:val="001F70A7"/>
    <w:rsid w:val="00210B09"/>
    <w:rsid w:val="00216CC9"/>
    <w:rsid w:val="002270CB"/>
    <w:rsid w:val="002E3658"/>
    <w:rsid w:val="00396C68"/>
    <w:rsid w:val="00492778"/>
    <w:rsid w:val="00523ADE"/>
    <w:rsid w:val="005448C7"/>
    <w:rsid w:val="005F4E75"/>
    <w:rsid w:val="00624CAC"/>
    <w:rsid w:val="00641968"/>
    <w:rsid w:val="00732C9C"/>
    <w:rsid w:val="007709AC"/>
    <w:rsid w:val="007F571E"/>
    <w:rsid w:val="0095069A"/>
    <w:rsid w:val="00A4574F"/>
    <w:rsid w:val="00AE2A30"/>
    <w:rsid w:val="00B12610"/>
    <w:rsid w:val="00B3259A"/>
    <w:rsid w:val="00B51AD3"/>
    <w:rsid w:val="00BC0321"/>
    <w:rsid w:val="00C121D5"/>
    <w:rsid w:val="00C24027"/>
    <w:rsid w:val="00C94666"/>
    <w:rsid w:val="00E24852"/>
    <w:rsid w:val="00E43C0F"/>
    <w:rsid w:val="00F53A2D"/>
    <w:rsid w:val="00F61DFF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creator>DAS</dc:creator>
  <cp:lastModifiedBy>Cullen J. Jackson</cp:lastModifiedBy>
  <cp:revision>5</cp:revision>
  <cp:lastPrinted>2012-06-12T18:55:00Z</cp:lastPrinted>
  <dcterms:created xsi:type="dcterms:W3CDTF">2012-06-12T18:46:00Z</dcterms:created>
  <dcterms:modified xsi:type="dcterms:W3CDTF">2012-06-12T19:08:00Z</dcterms:modified>
</cp:coreProperties>
</file>