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C354B9">
        <w:rPr>
          <w:b/>
          <w:u w:val="single"/>
        </w:rPr>
        <w:t>2121</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C354B9">
              <w:rPr>
                <w:b/>
              </w:rPr>
              <w:t>2121</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B87570" w:rsidP="00732C9C">
            <w:pPr>
              <w:rPr>
                <w:b/>
              </w:rPr>
            </w:pPr>
            <w:r>
              <w:rPr>
                <w:b/>
              </w:rPr>
              <w:t>DAVID LONG</w:t>
            </w:r>
            <w:bookmarkStart w:id="0" w:name="_GoBack"/>
            <w:bookmarkEnd w:id="0"/>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C354B9" w:rsidP="00732C9C">
            <w:pPr>
              <w:rPr>
                <w:b/>
              </w:rPr>
            </w:pPr>
            <w:r>
              <w:rPr>
                <w:b/>
              </w:rPr>
              <w:t>27-30-20091218-0187-06-10</w:t>
            </w:r>
          </w:p>
        </w:tc>
      </w:tr>
      <w:tr w:rsidR="00732C9C" w:rsidTr="00732C9C">
        <w:tc>
          <w:tcPr>
            <w:tcW w:w="3708" w:type="dxa"/>
          </w:tcPr>
          <w:p w:rsidR="00732C9C" w:rsidRDefault="00732C9C" w:rsidP="00732C9C">
            <w:pPr>
              <w:rPr>
                <w:b/>
              </w:rPr>
            </w:pPr>
            <w:r>
              <w:rPr>
                <w:b/>
              </w:rPr>
              <w:t>DEPARTMENT:</w:t>
            </w:r>
          </w:p>
        </w:tc>
        <w:tc>
          <w:tcPr>
            <w:tcW w:w="6156" w:type="dxa"/>
          </w:tcPr>
          <w:p w:rsidR="00732C9C" w:rsidRDefault="00C354B9" w:rsidP="00732C9C">
            <w:pPr>
              <w:ind w:left="432" w:hanging="432"/>
            </w:pPr>
            <w:r>
              <w:t>Department of Rehabilitation &amp; Correction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C354B9" w:rsidP="00732C9C">
            <w:pPr>
              <w:ind w:left="432" w:hanging="432"/>
            </w:pPr>
            <w:r>
              <w:t>OEA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C354B9" w:rsidP="00732C9C">
            <w:pPr>
              <w:ind w:left="432" w:hanging="432"/>
            </w:pPr>
            <w:r>
              <w:t>Dwight A. Washington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C354B9" w:rsidP="00732C9C">
            <w:pPr>
              <w:ind w:left="432" w:hanging="432"/>
            </w:pPr>
            <w:r>
              <w:t>Kristin Guthrie</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C354B9" w:rsidP="00732C9C">
            <w:pPr>
              <w:ind w:left="432" w:hanging="432"/>
            </w:pPr>
            <w:r>
              <w:t>Buffy Andrews</w:t>
            </w:r>
          </w:p>
        </w:tc>
      </w:tr>
      <w:tr w:rsidR="00732C9C" w:rsidTr="00732C9C">
        <w:tc>
          <w:tcPr>
            <w:tcW w:w="3708" w:type="dxa"/>
          </w:tcPr>
          <w:p w:rsidR="00732C9C" w:rsidRDefault="00732C9C" w:rsidP="00732C9C">
            <w:pPr>
              <w:rPr>
                <w:b/>
              </w:rPr>
            </w:pPr>
            <w:r>
              <w:rPr>
                <w:b/>
              </w:rPr>
              <w:t>2ND CHAIR:</w:t>
            </w:r>
          </w:p>
        </w:tc>
        <w:tc>
          <w:tcPr>
            <w:tcW w:w="6156" w:type="dxa"/>
          </w:tcPr>
          <w:p w:rsidR="00732C9C" w:rsidRDefault="00C354B9" w:rsidP="00732C9C">
            <w:pPr>
              <w:ind w:left="432" w:hanging="432"/>
            </w:pPr>
            <w:r>
              <w:t>Jackie Milsom</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C354B9" w:rsidP="00732C9C">
            <w:pPr>
              <w:ind w:left="432" w:hanging="432"/>
            </w:pPr>
            <w:r>
              <w:t>Mark E. Linder</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C354B9" w:rsidP="00732C9C">
            <w:pPr>
              <w:ind w:left="432" w:hanging="432"/>
            </w:pPr>
            <w:r>
              <w:t>February 24,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C354B9" w:rsidP="00732C9C">
            <w:pPr>
              <w:ind w:left="432" w:hanging="432"/>
            </w:pPr>
            <w:r>
              <w:t>May 6,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C354B9"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C354B9" w:rsidP="00732C9C">
            <w:pPr>
              <w:ind w:left="432" w:hanging="432"/>
            </w:pPr>
            <w:r>
              <w:t>Article 13</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C354B9" w:rsidP="00732C9C">
            <w:pPr>
              <w:ind w:left="432" w:hanging="432"/>
            </w:pPr>
            <w:r>
              <w:t>118.01—Discipline-In General;</w:t>
            </w:r>
            <w:r w:rsidR="00F2061F">
              <w:t xml:space="preserve"> 118.6481—Dishonesty-In General; 118.301—Progressive Discipline</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F2061F" w:rsidRPr="0079540F" w:rsidRDefault="00732C9C" w:rsidP="00173198">
      <w:pPr>
        <w:jc w:val="both"/>
      </w:pPr>
      <w:r>
        <w:rPr>
          <w:b/>
        </w:rPr>
        <w:t xml:space="preserve">HOLDING: </w:t>
      </w:r>
      <w:r>
        <w:rPr>
          <w:b/>
        </w:rPr>
        <w:tab/>
      </w:r>
      <w:r w:rsidR="00641968">
        <w:rPr>
          <w:b/>
        </w:rPr>
        <w:t>Grievance DENIED.  The Arbitrator found</w:t>
      </w:r>
      <w:r w:rsidR="00F2061F">
        <w:rPr>
          <w:b/>
        </w:rPr>
        <w:t xml:space="preserve"> </w:t>
      </w:r>
      <w:r w:rsidR="00F2061F" w:rsidRPr="00F2061F">
        <w:rPr>
          <w:b/>
        </w:rPr>
        <w:t xml:space="preserve">that the </w:t>
      </w:r>
      <w:r w:rsidR="00F10798">
        <w:rPr>
          <w:b/>
        </w:rPr>
        <w:t>Employer had just cause to remove the Grievant</w:t>
      </w:r>
      <w:r w:rsidR="00173198">
        <w:rPr>
          <w:b/>
        </w:rPr>
        <w:t xml:space="preserve"> for failing to immediately report her arrest pursuant to agency work rules. </w:t>
      </w:r>
    </w:p>
    <w:p w:rsidR="00641968" w:rsidRDefault="00641968" w:rsidP="00173198">
      <w:pPr>
        <w:jc w:val="both"/>
        <w:rPr>
          <w:b/>
        </w:rPr>
      </w:pPr>
    </w:p>
    <w:p w:rsidR="00641968" w:rsidRPr="00C354B9" w:rsidRDefault="00173198" w:rsidP="00173198">
      <w:pPr>
        <w:jc w:val="both"/>
      </w:pPr>
      <w:r>
        <w:t xml:space="preserve">The Grievant was employed as a Teacher within the Department of Rehabilitation and Correction at the time of her removal. </w:t>
      </w:r>
      <w:r w:rsidR="00C354B9">
        <w:t xml:space="preserve">The Grievant was removed on December 16, 2009, primarily because she failed to timely notify the Employer of her arrest for shoplifting on November 8, 2009, in violation of Rule 26. The Grievant informed the Employer </w:t>
      </w:r>
      <w:r w:rsidR="00DB35B9">
        <w:t xml:space="preserve">on November 12, 2009, </w:t>
      </w:r>
      <w:r w:rsidR="00C354B9">
        <w:t>that she was “picked up” but failed to provide any specifics regarding the November 8</w:t>
      </w:r>
      <w:r w:rsidR="00C354B9" w:rsidRPr="00C354B9">
        <w:rPr>
          <w:vertAlign w:val="superscript"/>
        </w:rPr>
        <w:t>th</w:t>
      </w:r>
      <w:r w:rsidR="00C354B9">
        <w:t xml:space="preserve"> incident. During the Employer’s investigation, it was discovered that in July 2007 and July 2009, the Grievant had two other criminal charges o</w:t>
      </w:r>
      <w:r w:rsidR="003C4F8D">
        <w:t xml:space="preserve">n her record. Neither of these arrests </w:t>
      </w:r>
      <w:proofErr w:type="gramStart"/>
      <w:r w:rsidR="003C4F8D">
        <w:t>were</w:t>
      </w:r>
      <w:proofErr w:type="gramEnd"/>
      <w:r w:rsidR="00C354B9">
        <w:t xml:space="preserve"> reported to the Employer by the Grievant. </w:t>
      </w:r>
      <w:r w:rsidR="002E7560">
        <w:t>The Grievant was charged with a violation of Rule 26, failure to immediately re</w:t>
      </w:r>
      <w:r w:rsidR="00E43462">
        <w:t>port a criminal arrest;</w:t>
      </w:r>
      <w:r w:rsidR="002E7560">
        <w:t xml:space="preserve"> Rule 7, failure to follow </w:t>
      </w:r>
      <w:r w:rsidR="00E43462">
        <w:t xml:space="preserve">post orders; and Rule 39, any act that would bring discredit to the Employer.  </w:t>
      </w:r>
      <w:r>
        <w:t>At the time of the Grievant’s removal her disciplinary record included</w:t>
      </w:r>
      <w:r w:rsidR="00DB35B9">
        <w:t xml:space="preserve">: a written warning, a two-day suspension (later reduced to a written warning), and a two-day suspension. </w:t>
      </w:r>
    </w:p>
    <w:p w:rsidR="00641968" w:rsidRDefault="00641968" w:rsidP="00173198">
      <w:pPr>
        <w:jc w:val="both"/>
        <w:rPr>
          <w:b/>
        </w:rPr>
      </w:pPr>
    </w:p>
    <w:p w:rsidR="00F2061F" w:rsidRPr="00C354B9" w:rsidRDefault="00F2061F" w:rsidP="00173198">
      <w:pPr>
        <w:jc w:val="both"/>
      </w:pPr>
      <w:r w:rsidRPr="00F2061F">
        <w:t>The Employer argued</w:t>
      </w:r>
      <w:r>
        <w:rPr>
          <w:b/>
        </w:rPr>
        <w:t xml:space="preserve"> </w:t>
      </w:r>
      <w:r>
        <w:t xml:space="preserve">that the Grievant failed to immediately report the July 2007 and </w:t>
      </w:r>
      <w:r w:rsidR="008A1B1A">
        <w:t>July</w:t>
      </w:r>
      <w:r>
        <w:t xml:space="preserve"> 2009 incidents in violation of Rule 26. </w:t>
      </w:r>
      <w:r w:rsidR="00DB35B9">
        <w:t>The Employer argued that if the November 8</w:t>
      </w:r>
      <w:r w:rsidR="00DB35B9" w:rsidRPr="00DB35B9">
        <w:rPr>
          <w:vertAlign w:val="superscript"/>
        </w:rPr>
        <w:t>th</w:t>
      </w:r>
      <w:r w:rsidR="00DB35B9">
        <w:t xml:space="preserve"> incident did not occur, the Grievant would not have reported the </w:t>
      </w:r>
      <w:r w:rsidR="008A1B1A">
        <w:t>two July</w:t>
      </w:r>
      <w:r w:rsidR="00DB35B9">
        <w:t xml:space="preserve"> incidents. </w:t>
      </w:r>
      <w:r w:rsidR="00173198">
        <w:t xml:space="preserve"> The Employer argued that had the </w:t>
      </w:r>
      <w:proofErr w:type="spellStart"/>
      <w:r w:rsidR="00173198">
        <w:t>Grievant’s</w:t>
      </w:r>
      <w:proofErr w:type="spellEnd"/>
      <w:r w:rsidR="00173198">
        <w:t xml:space="preserve"> name not appeared in a local newspaper, she may never have reported the November incident.  The </w:t>
      </w:r>
      <w:proofErr w:type="spellStart"/>
      <w:r w:rsidR="00173198">
        <w:t>Grievant’s</w:t>
      </w:r>
      <w:proofErr w:type="spellEnd"/>
      <w:r w:rsidR="00173198">
        <w:t xml:space="preserve"> failure to immediately report the arrest on November 8, 2009 was a violation of the Employer’s work rules.</w:t>
      </w:r>
      <w:r w:rsidR="0075209C">
        <w:t xml:space="preserve">  The publication of the </w:t>
      </w:r>
      <w:proofErr w:type="spellStart"/>
      <w:r w:rsidR="0075209C">
        <w:t>Grievant’s</w:t>
      </w:r>
      <w:proofErr w:type="spellEnd"/>
      <w:r w:rsidR="0075209C">
        <w:t xml:space="preserve"> name and criminal offense in the local newspaper brought discredit to the Employer.</w:t>
      </w:r>
      <w:r w:rsidR="00173198">
        <w:t xml:space="preserve">  The Employer opined that the Union’s mitigation arguments did not override the conclusive evidence that the Grievant violated work rules.  The Union did not present any medical evidence to show that the Grievant was not capable of complying with the Employer’s work rules.  Based on the </w:t>
      </w:r>
      <w:proofErr w:type="spellStart"/>
      <w:r w:rsidR="00173198">
        <w:t>Grievant’s</w:t>
      </w:r>
      <w:proofErr w:type="spellEnd"/>
      <w:r w:rsidR="00173198">
        <w:t xml:space="preserve"> prior disciplinary record and the current offense, the Employer argued that removal was justified. </w:t>
      </w:r>
    </w:p>
    <w:p w:rsidR="00F2061F" w:rsidRDefault="00F2061F" w:rsidP="00173198">
      <w:pPr>
        <w:jc w:val="both"/>
        <w:rPr>
          <w:b/>
        </w:rPr>
      </w:pPr>
    </w:p>
    <w:p w:rsidR="00641968" w:rsidRPr="00F2061F" w:rsidRDefault="00641968" w:rsidP="00173198">
      <w:pPr>
        <w:jc w:val="both"/>
      </w:pPr>
      <w:r w:rsidRPr="00F2061F">
        <w:t>The Union argued</w:t>
      </w:r>
      <w:r w:rsidR="00A54AA1">
        <w:rPr>
          <w:b/>
        </w:rPr>
        <w:t xml:space="preserve"> </w:t>
      </w:r>
      <w:r w:rsidR="00A54AA1">
        <w:t xml:space="preserve">that the Grievant </w:t>
      </w:r>
      <w:r w:rsidR="00B4564E">
        <w:t>had ten years of teachin</w:t>
      </w:r>
      <w:r w:rsidR="008A1B1A">
        <w:t xml:space="preserve">g experience with the Employer, and </w:t>
      </w:r>
      <w:r w:rsidR="00A54AA1">
        <w:t xml:space="preserve">was well regarded by her peers and the community. </w:t>
      </w:r>
      <w:r w:rsidR="002E7560">
        <w:t xml:space="preserve">The Union claimed that the Employer failed to conduct a proper investigation and stacked the charges against the Grievant. </w:t>
      </w:r>
      <w:r w:rsidR="00173198">
        <w:t xml:space="preserve"> Although the Union </w:t>
      </w:r>
      <w:r w:rsidR="00173198">
        <w:lastRenderedPageBreak/>
        <w:t>recognized that the Grievant did n</w:t>
      </w:r>
      <w:r w:rsidR="002E7560">
        <w:t xml:space="preserve">ot properly notify the Employer of the three incidents, there were mitigating circumstances that should be considered. The Union first argued that the </w:t>
      </w:r>
      <w:proofErr w:type="spellStart"/>
      <w:r w:rsidR="002E7560">
        <w:t>Grievant’s</w:t>
      </w:r>
      <w:proofErr w:type="spellEnd"/>
      <w:r w:rsidR="002E7560">
        <w:t xml:space="preserve"> length of service should be considered as a mitigating factor.  In addition</w:t>
      </w:r>
      <w:r w:rsidR="00E43462">
        <w:t>, the</w:t>
      </w:r>
      <w:r w:rsidR="002E7560">
        <w:t xml:space="preserve"> Union argued </w:t>
      </w:r>
      <w:proofErr w:type="gramStart"/>
      <w:r w:rsidR="002E7560">
        <w:t xml:space="preserve">the </w:t>
      </w:r>
      <w:r w:rsidR="0075209C">
        <w:t>a</w:t>
      </w:r>
      <w:proofErr w:type="gramEnd"/>
      <w:r w:rsidR="0075209C">
        <w:t xml:space="preserve"> medical condition affected the </w:t>
      </w:r>
      <w:proofErr w:type="spellStart"/>
      <w:r w:rsidR="0075209C">
        <w:t>Grievant’s</w:t>
      </w:r>
      <w:proofErr w:type="spellEnd"/>
      <w:r w:rsidR="0075209C">
        <w:t xml:space="preserve"> actions</w:t>
      </w:r>
      <w:r w:rsidR="002E7560">
        <w:t xml:space="preserve">.  </w:t>
      </w:r>
      <w:r w:rsidR="0079540F">
        <w:t xml:space="preserve">The Union </w:t>
      </w:r>
      <w:r w:rsidR="00B4564E">
        <w:t>sought</w:t>
      </w:r>
      <w:r w:rsidR="0079540F">
        <w:t xml:space="preserve"> another opportunity </w:t>
      </w:r>
      <w:r w:rsidR="002E7560">
        <w:t xml:space="preserve">for the Grievant </w:t>
      </w:r>
      <w:r w:rsidR="0079540F">
        <w:t xml:space="preserve">via a last chance agreement or a determination that just cause did not exist to justify the Grievant’s removal. </w:t>
      </w:r>
    </w:p>
    <w:p w:rsidR="00641968" w:rsidRDefault="00641968" w:rsidP="00173198">
      <w:pPr>
        <w:jc w:val="both"/>
        <w:rPr>
          <w:b/>
        </w:rPr>
      </w:pPr>
    </w:p>
    <w:p w:rsidR="00732C9C" w:rsidRDefault="00641968" w:rsidP="00173198">
      <w:pPr>
        <w:jc w:val="both"/>
        <w:rPr>
          <w:b/>
        </w:rPr>
      </w:pPr>
      <w:r w:rsidRPr="00F2061F">
        <w:t>The Arbitrator found</w:t>
      </w:r>
      <w:r>
        <w:rPr>
          <w:b/>
        </w:rPr>
        <w:t xml:space="preserve"> </w:t>
      </w:r>
      <w:r w:rsidR="0079540F">
        <w:t xml:space="preserve">the Grievant was cognizant of all the events preceding her removal and was actively engaged throughout the proceeding. </w:t>
      </w:r>
      <w:r w:rsidR="003A3EE9">
        <w:t xml:space="preserve">The Grievant acknowledged she received the rules that governed her employment. </w:t>
      </w:r>
      <w:r w:rsidR="0079540F">
        <w:t xml:space="preserve">The </w:t>
      </w:r>
      <w:proofErr w:type="spellStart"/>
      <w:r w:rsidR="0079540F">
        <w:t>Grievant’s</w:t>
      </w:r>
      <w:proofErr w:type="spellEnd"/>
      <w:r w:rsidR="0079540F">
        <w:t xml:space="preserve"> failure to immediately contact the institution </w:t>
      </w:r>
      <w:r w:rsidR="003A3EE9">
        <w:t>on November 8</w:t>
      </w:r>
      <w:r w:rsidR="003A3EE9" w:rsidRPr="003A3EE9">
        <w:rPr>
          <w:vertAlign w:val="superscript"/>
        </w:rPr>
        <w:t>th</w:t>
      </w:r>
      <w:r w:rsidR="003A3EE9">
        <w:t xml:space="preserve"> </w:t>
      </w:r>
      <w:r w:rsidR="0075209C">
        <w:t>provided</w:t>
      </w:r>
      <w:r w:rsidR="0079540F">
        <w:t xml:space="preserve"> the basis for a violation of both Rules 7 and 26. </w:t>
      </w:r>
      <w:r w:rsidR="00E43462">
        <w:t xml:space="preserve">The Arbitrator found that the </w:t>
      </w:r>
      <w:proofErr w:type="spellStart"/>
      <w:r w:rsidR="00E43462">
        <w:t>Grievant’s</w:t>
      </w:r>
      <w:proofErr w:type="spellEnd"/>
      <w:r w:rsidR="00E43462">
        <w:t xml:space="preserve"> off duty arrest in November </w:t>
      </w:r>
      <w:r w:rsidR="0075209C">
        <w:t xml:space="preserve">also </w:t>
      </w:r>
      <w:r w:rsidR="00E43462">
        <w:t>brought discredit to the Employer when the local newspaper printed her name and her criminal arrest. The Arbitrator opined that t</w:t>
      </w:r>
      <w:r w:rsidR="003A3EE9">
        <w:t>he amount of people that might have seen the newsp</w:t>
      </w:r>
      <w:r w:rsidR="0075209C">
        <w:t xml:space="preserve">aper with the </w:t>
      </w:r>
      <w:proofErr w:type="spellStart"/>
      <w:r w:rsidR="0075209C">
        <w:t>Grievant’s</w:t>
      </w:r>
      <w:proofErr w:type="spellEnd"/>
      <w:r w:rsidR="0075209C">
        <w:t xml:space="preserve"> name was</w:t>
      </w:r>
      <w:r w:rsidR="003A3EE9">
        <w:t xml:space="preserve"> immaterial. Certain off-duty conduct is extremely important because of the Employer’s need for trust and public confidence. </w:t>
      </w:r>
      <w:r w:rsidR="00E43462">
        <w:t xml:space="preserve"> The Arbitrator determined that the Union’s offering of mitigating factors such as the </w:t>
      </w:r>
      <w:proofErr w:type="spellStart"/>
      <w:r w:rsidR="00E43462">
        <w:t>Grievant’s</w:t>
      </w:r>
      <w:proofErr w:type="spellEnd"/>
      <w:r w:rsidR="00E43462">
        <w:t xml:space="preserve"> length of service and job recognitions were not enough to modify a just cause finding.  Further, there was no medical support presented in the record to establish the Union’s claim that the </w:t>
      </w:r>
      <w:proofErr w:type="spellStart"/>
      <w:r w:rsidR="00E43462">
        <w:t>Grievant’s</w:t>
      </w:r>
      <w:proofErr w:type="spellEnd"/>
      <w:r w:rsidR="00E43462">
        <w:t xml:space="preserve"> condition had any effect on her actions.  Therefore, the Arbitrator determined there was just cause to remove the Grievant. </w:t>
      </w:r>
    </w:p>
    <w:p w:rsidR="00732C9C" w:rsidRDefault="00732C9C" w:rsidP="00173198">
      <w:pPr>
        <w:jc w:val="both"/>
      </w:pPr>
    </w:p>
    <w:p w:rsidR="00732C9C" w:rsidRDefault="00732C9C" w:rsidP="00173198">
      <w:pPr>
        <w:jc w:val="both"/>
      </w:pPr>
    </w:p>
    <w:p w:rsidR="00732C9C" w:rsidRDefault="00732C9C" w:rsidP="00173198">
      <w:pPr>
        <w:jc w:val="both"/>
      </w:pPr>
    </w:p>
    <w:p w:rsidR="00732C9C" w:rsidRDefault="00732C9C" w:rsidP="00173198">
      <w:pPr>
        <w:jc w:val="both"/>
      </w:pPr>
    </w:p>
    <w:sectPr w:rsidR="00732C9C" w:rsidSect="0004369C">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04369C"/>
    <w:rsid w:val="0009595A"/>
    <w:rsid w:val="00173198"/>
    <w:rsid w:val="002E7560"/>
    <w:rsid w:val="003A3EE9"/>
    <w:rsid w:val="003C4F8D"/>
    <w:rsid w:val="00641968"/>
    <w:rsid w:val="00732C9C"/>
    <w:rsid w:val="0075209C"/>
    <w:rsid w:val="0079540F"/>
    <w:rsid w:val="008A1B1A"/>
    <w:rsid w:val="00A4574F"/>
    <w:rsid w:val="00A54AA1"/>
    <w:rsid w:val="00B4564E"/>
    <w:rsid w:val="00B87570"/>
    <w:rsid w:val="00C354B9"/>
    <w:rsid w:val="00DB35B9"/>
    <w:rsid w:val="00E43462"/>
    <w:rsid w:val="00E814E8"/>
    <w:rsid w:val="00F10798"/>
    <w:rsid w:val="00F2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Eric Slaback</cp:lastModifiedBy>
  <cp:revision>7</cp:revision>
  <dcterms:created xsi:type="dcterms:W3CDTF">2011-08-11T14:49:00Z</dcterms:created>
  <dcterms:modified xsi:type="dcterms:W3CDTF">2012-03-14T19:01:00Z</dcterms:modified>
</cp:coreProperties>
</file>