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27355E">
        <w:rPr>
          <w:b/>
          <w:u w:val="single"/>
        </w:rPr>
        <w:t>2115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4B2CCB">
              <w:rPr>
                <w:b/>
              </w:rPr>
              <w:t>21</w:t>
            </w:r>
            <w:r w:rsidR="00185F96">
              <w:rPr>
                <w:b/>
              </w:rPr>
              <w:t>15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A4574F" w:rsidP="00732C9C">
            <w:pPr>
              <w:rPr>
                <w:b/>
              </w:rPr>
            </w:pPr>
            <w:r>
              <w:rPr>
                <w:b/>
              </w:rPr>
              <w:t>KRISTEN RANKIN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C53478" w:rsidP="00732C9C">
            <w:pPr>
              <w:rPr>
                <w:b/>
              </w:rPr>
            </w:pPr>
            <w:r>
              <w:rPr>
                <w:b/>
              </w:rPr>
              <w:t>2</w:t>
            </w:r>
            <w:r w:rsidR="00185F96">
              <w:rPr>
                <w:b/>
              </w:rPr>
              <w:t>7-23-20100114-0003-01-03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4D5AB8" w:rsidP="00732C9C">
            <w:pPr>
              <w:ind w:left="432" w:hanging="432"/>
            </w:pPr>
            <w:r>
              <w:t>Rehabilitation and Correction</w:t>
            </w:r>
            <w:bookmarkStart w:id="0" w:name="_GoBack"/>
            <w:bookmarkEnd w:id="0"/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F71446" w:rsidP="00732C9C">
            <w:pPr>
              <w:ind w:left="432" w:hanging="432"/>
            </w:pPr>
            <w:r>
              <w:t>OCSEA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185F96" w:rsidP="00732C9C">
            <w:pPr>
              <w:ind w:left="432" w:hanging="432"/>
            </w:pPr>
            <w:r>
              <w:t xml:space="preserve">Susan </w:t>
            </w:r>
            <w:proofErr w:type="spellStart"/>
            <w:r>
              <w:t>Grody</w:t>
            </w:r>
            <w:proofErr w:type="spellEnd"/>
            <w:r>
              <w:t xml:space="preserve"> Ruben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GRIEVANT NAME:</w:t>
            </w:r>
          </w:p>
        </w:tc>
        <w:tc>
          <w:tcPr>
            <w:tcW w:w="6156" w:type="dxa"/>
          </w:tcPr>
          <w:p w:rsidR="00732C9C" w:rsidRDefault="00185F96" w:rsidP="00732C9C">
            <w:pPr>
              <w:ind w:left="432" w:hanging="432"/>
            </w:pPr>
            <w:r>
              <w:t>Mal Corey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185F96" w:rsidP="00732C9C">
            <w:pPr>
              <w:ind w:left="432" w:hanging="432"/>
            </w:pPr>
            <w:r>
              <w:t>Chris Lambert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185F96" w:rsidP="00185F96">
            <w:pPr>
              <w:ind w:left="432" w:hanging="432"/>
            </w:pPr>
            <w:r>
              <w:t>Marissa Walter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185F96" w:rsidP="00732C9C">
            <w:pPr>
              <w:ind w:left="432" w:hanging="432"/>
            </w:pPr>
            <w:r>
              <w:t>Dave Justice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185F96" w:rsidP="00732C9C">
            <w:pPr>
              <w:ind w:left="432" w:hanging="432"/>
            </w:pPr>
            <w:r>
              <w:t>February 16</w:t>
            </w:r>
            <w:r w:rsidR="00F71446">
              <w:t>, 2011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185F96" w:rsidP="00732C9C">
            <w:pPr>
              <w:ind w:left="432" w:hanging="432"/>
            </w:pPr>
            <w:r>
              <w:t>April 4</w:t>
            </w:r>
            <w:r w:rsidR="00F71446">
              <w:t>, 2011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4B2CCB" w:rsidP="00732C9C">
            <w:pPr>
              <w:ind w:left="432" w:hanging="432"/>
            </w:pPr>
            <w:r>
              <w:t>D</w:t>
            </w:r>
            <w:r w:rsidR="00F71446">
              <w:t>ENIED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185F96" w:rsidP="00373161">
            <w:pPr>
              <w:ind w:left="432" w:hanging="432"/>
            </w:pPr>
            <w:r>
              <w:t>Article 1—Recognition; Article 25</w:t>
            </w:r>
            <w:r w:rsidR="0029664B">
              <w:t xml:space="preserve">—Grievance Procedure; </w:t>
            </w:r>
            <w:r>
              <w:t>Appendix Q—Agency Specific Agreements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694319" w:rsidP="00D87848">
            <w:pPr>
              <w:ind w:left="432" w:hanging="432"/>
            </w:pPr>
            <w:r>
              <w:t>24.111—Secondary Agreements; 93</w:t>
            </w:r>
            <w:r w:rsidR="00D87848">
              <w:t>.53</w:t>
            </w:r>
            <w:r w:rsidR="0029664B">
              <w:t>—</w:t>
            </w:r>
            <w:r w:rsidR="00D87848">
              <w:t>Mootness of Grievances</w:t>
            </w:r>
            <w:r w:rsidR="0029664B">
              <w:t xml:space="preserve">; </w:t>
            </w:r>
            <w:r w:rsidR="00D87848">
              <w:t>117.3312</w:t>
            </w:r>
            <w:r w:rsidR="0029664B">
              <w:t>—</w:t>
            </w:r>
            <w:r w:rsidR="00D87848">
              <w:t>Pick-A-Post</w:t>
            </w:r>
            <w:r w:rsidR="0029664B">
              <w:t>;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641968" w:rsidRDefault="00641968" w:rsidP="00732C9C">
      <w:pPr>
        <w:rPr>
          <w:b/>
        </w:rPr>
      </w:pPr>
    </w:p>
    <w:p w:rsidR="00F71446" w:rsidRDefault="00F71446" w:rsidP="007C51F5">
      <w:pPr>
        <w:jc w:val="both"/>
        <w:rPr>
          <w:b/>
        </w:rPr>
      </w:pPr>
      <w:r w:rsidRPr="004A7F79">
        <w:rPr>
          <w:b/>
        </w:rPr>
        <w:t xml:space="preserve">HOLDING: Grievance DENIED. The Arbitrator found that the </w:t>
      </w:r>
      <w:r w:rsidR="00185F96">
        <w:rPr>
          <w:b/>
        </w:rPr>
        <w:t xml:space="preserve">Union had negotiated and agreed to the Pick-a-Post agreement. </w:t>
      </w:r>
    </w:p>
    <w:p w:rsidR="00185F96" w:rsidRDefault="00185F96" w:rsidP="007C51F5">
      <w:pPr>
        <w:jc w:val="both"/>
        <w:rPr>
          <w:b/>
        </w:rPr>
      </w:pPr>
    </w:p>
    <w:p w:rsidR="00185F96" w:rsidRDefault="00185F96" w:rsidP="007C51F5">
      <w:pPr>
        <w:jc w:val="both"/>
      </w:pPr>
      <w:r>
        <w:rPr>
          <w:b/>
        </w:rPr>
        <w:tab/>
      </w:r>
      <w:r>
        <w:t xml:space="preserve">The grievance arose out of a negotiated pick-a-post agreement between the Employer and the Union. In August 2009, RCI had is funding level reduced by the equivalent of 12 posts per day. A pick-a-post committee of both local management employees and local bargaining unit employees was </w:t>
      </w:r>
      <w:r w:rsidR="00691A4E">
        <w:t>created to determine which posts would be reduced. The Union suggested that the Count Of</w:t>
      </w:r>
      <w:r w:rsidR="00D87848">
        <w:t>fice post be reduced and stated this proposal in writing</w:t>
      </w:r>
      <w:r w:rsidR="00691A4E">
        <w:t>. The Union’s written proposal acknowledged that other institutions were already using a supervisor to staff the Count Office and recommended RCI follow suit. The decisions of the local RCI pick-a-post committee were approved by the Statewide Oversight Pick-a-Post Committee and the required reductions went into effect on January 3, 2010. The Union filed a grievance on January 11, 2010, in which it argued that staffing the Count Office with a supervisor constituted a violation of Article 1.</w:t>
      </w:r>
    </w:p>
    <w:p w:rsidR="00691A4E" w:rsidRDefault="00691A4E" w:rsidP="007C51F5">
      <w:pPr>
        <w:jc w:val="both"/>
      </w:pPr>
    </w:p>
    <w:p w:rsidR="00691A4E" w:rsidRPr="00185F96" w:rsidRDefault="00691A4E" w:rsidP="007C51F5">
      <w:pPr>
        <w:jc w:val="both"/>
      </w:pPr>
      <w:r>
        <w:tab/>
        <w:t xml:space="preserve">The Union argued that the grievance was </w:t>
      </w:r>
      <w:proofErr w:type="spellStart"/>
      <w:r>
        <w:t>arbitrable</w:t>
      </w:r>
      <w:proofErr w:type="spellEnd"/>
      <w:r>
        <w:t xml:space="preserve"> and that staffing the Count Office with a Lieutenant was a violation of Article 1’s prohibition on increasing bargaining unit work by a supervisor. </w:t>
      </w:r>
      <w:r w:rsidR="007C51F5">
        <w:t xml:space="preserve">The Union argued that despite the fact that it recommended and approved the use of a supervisor for the Count </w:t>
      </w:r>
      <w:proofErr w:type="gramStart"/>
      <w:r w:rsidR="007C51F5">
        <w:t>Office,</w:t>
      </w:r>
      <w:proofErr w:type="gramEnd"/>
      <w:r w:rsidR="007C51F5">
        <w:t xml:space="preserve"> the Employer had an affirmative duty not to violate the CBA. Because the use of a supervisor to staff the Count Office constituted a violation of Article 1, the Union argued that the Employer should have rejected the Union’s proposal. </w:t>
      </w:r>
    </w:p>
    <w:p w:rsidR="00732C9C" w:rsidRDefault="00F71446" w:rsidP="007C51F5">
      <w:pPr>
        <w:jc w:val="both"/>
      </w:pPr>
      <w:r>
        <w:tab/>
      </w:r>
    </w:p>
    <w:p w:rsidR="007C51F5" w:rsidRDefault="007C51F5" w:rsidP="007C51F5">
      <w:pPr>
        <w:jc w:val="both"/>
      </w:pPr>
      <w:r>
        <w:tab/>
        <w:t xml:space="preserve">The Employer argued that the grievance was not </w:t>
      </w:r>
      <w:proofErr w:type="spellStart"/>
      <w:r>
        <w:t>arbitrable</w:t>
      </w:r>
      <w:proofErr w:type="spellEnd"/>
      <w:r>
        <w:t xml:space="preserve"> because the negotiated pick-a-post agreement was a contract. Once the agreement </w:t>
      </w:r>
      <w:r w:rsidR="00D87848">
        <w:t>was</w:t>
      </w:r>
      <w:r>
        <w:t xml:space="preserve"> reached, the Union </w:t>
      </w:r>
      <w:r w:rsidR="00D87848">
        <w:t>could no longer</w:t>
      </w:r>
      <w:r>
        <w:t xml:space="preserve"> gri</w:t>
      </w:r>
      <w:r w:rsidR="00D87848">
        <w:t>eve that the agreement conflicted</w:t>
      </w:r>
      <w:r>
        <w:t xml:space="preserve"> with other provisions of the CBA. On the merits, the Employer argued that agreement represented a negotiated agreement. Any concerns about the nature of the agreement were addressed during negotiations and became moot once the parties agreed to</w:t>
      </w:r>
      <w:r w:rsidR="00D87848">
        <w:t>,</w:t>
      </w:r>
      <w:r>
        <w:t xml:space="preserve"> and signed</w:t>
      </w:r>
      <w:r w:rsidR="00D87848">
        <w:t>,</w:t>
      </w:r>
      <w:r>
        <w:t xml:space="preserve"> the agreement. The Employer argued that the U</w:t>
      </w:r>
      <w:r w:rsidR="00D87848">
        <w:t>nion should not be able to undo</w:t>
      </w:r>
      <w:r>
        <w:t xml:space="preserve"> a bargained for agreement through the grievance process. </w:t>
      </w:r>
    </w:p>
    <w:p w:rsidR="007C51F5" w:rsidRDefault="007C51F5" w:rsidP="007C51F5">
      <w:pPr>
        <w:jc w:val="both"/>
      </w:pPr>
    </w:p>
    <w:p w:rsidR="007C51F5" w:rsidRDefault="007C51F5" w:rsidP="007C51F5">
      <w:pPr>
        <w:jc w:val="both"/>
      </w:pPr>
      <w:r>
        <w:lastRenderedPageBreak/>
        <w:tab/>
        <w:t xml:space="preserve">The Arbitrator found the grievance was substantively </w:t>
      </w:r>
      <w:proofErr w:type="spellStart"/>
      <w:r>
        <w:t>arbitrable</w:t>
      </w:r>
      <w:proofErr w:type="spellEnd"/>
      <w:r>
        <w:t xml:space="preserve">, but denied the grievance. The Arbitrator found that the pick-a-post agreement was </w:t>
      </w:r>
      <w:proofErr w:type="spellStart"/>
      <w:r>
        <w:t>arbitrable</w:t>
      </w:r>
      <w:proofErr w:type="spellEnd"/>
      <w:r>
        <w:t xml:space="preserve"> because it derived from Appendix Q of the CBA. </w:t>
      </w:r>
      <w:r w:rsidR="00633B42">
        <w:t xml:space="preserve">On the merits, the Arbitrator concluded that Union’s endorsement, both at the local and statewide level, of the pick-a-post agreement represented a resolution of the issue. The Arbitrator found that by agreeing to eliminate the Count Office post in the pick-a-post agreement, the Union waived the ability to argue that the elimination violated Article 1. </w:t>
      </w:r>
    </w:p>
    <w:p w:rsidR="00732C9C" w:rsidRDefault="00732C9C"/>
    <w:sectPr w:rsidR="00732C9C" w:rsidSect="00C40108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32C9C"/>
    <w:rsid w:val="00146116"/>
    <w:rsid w:val="00185F96"/>
    <w:rsid w:val="0027355E"/>
    <w:rsid w:val="0029664B"/>
    <w:rsid w:val="002D2EE0"/>
    <w:rsid w:val="00365FD1"/>
    <w:rsid w:val="00373161"/>
    <w:rsid w:val="004B2CCB"/>
    <w:rsid w:val="004D5AB8"/>
    <w:rsid w:val="00633B42"/>
    <w:rsid w:val="00641968"/>
    <w:rsid w:val="00691A4E"/>
    <w:rsid w:val="00694319"/>
    <w:rsid w:val="00697602"/>
    <w:rsid w:val="00732C9C"/>
    <w:rsid w:val="00757AF3"/>
    <w:rsid w:val="00786CB1"/>
    <w:rsid w:val="007B5F82"/>
    <w:rsid w:val="007C51F5"/>
    <w:rsid w:val="009274FD"/>
    <w:rsid w:val="009E2B5B"/>
    <w:rsid w:val="00A4574F"/>
    <w:rsid w:val="00A739F6"/>
    <w:rsid w:val="00AA0CA4"/>
    <w:rsid w:val="00BF18A2"/>
    <w:rsid w:val="00C40108"/>
    <w:rsid w:val="00C53478"/>
    <w:rsid w:val="00C61169"/>
    <w:rsid w:val="00C62B48"/>
    <w:rsid w:val="00CB583E"/>
    <w:rsid w:val="00D87848"/>
    <w:rsid w:val="00E44823"/>
    <w:rsid w:val="00F71446"/>
    <w:rsid w:val="00F7759F"/>
    <w:rsid w:val="00FA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Eric Slaback</cp:lastModifiedBy>
  <cp:revision>6</cp:revision>
  <dcterms:created xsi:type="dcterms:W3CDTF">2012-01-03T19:52:00Z</dcterms:created>
  <dcterms:modified xsi:type="dcterms:W3CDTF">2012-01-30T16:15:00Z</dcterms:modified>
</cp:coreProperties>
</file>