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EC1C2F">
        <w:rPr>
          <w:b/>
          <w:u w:val="single"/>
        </w:rPr>
        <w:t>2104</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EC1C2F">
              <w:rPr>
                <w:b/>
              </w:rPr>
              <w:t>2104</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1B77C5"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EC1C2F" w:rsidP="00732C9C">
            <w:pPr>
              <w:rPr>
                <w:b/>
              </w:rPr>
            </w:pPr>
            <w:r>
              <w:rPr>
                <w:b/>
              </w:rPr>
              <w:t>34-17-20100326-0016-01-09</w:t>
            </w:r>
          </w:p>
        </w:tc>
      </w:tr>
      <w:tr w:rsidR="00732C9C" w:rsidTr="00732C9C">
        <w:tc>
          <w:tcPr>
            <w:tcW w:w="3708" w:type="dxa"/>
          </w:tcPr>
          <w:p w:rsidR="00732C9C" w:rsidRDefault="00732C9C" w:rsidP="00732C9C">
            <w:pPr>
              <w:rPr>
                <w:b/>
              </w:rPr>
            </w:pPr>
            <w:r>
              <w:rPr>
                <w:b/>
              </w:rPr>
              <w:t>DEPARTMENT:</w:t>
            </w:r>
          </w:p>
        </w:tc>
        <w:tc>
          <w:tcPr>
            <w:tcW w:w="6156" w:type="dxa"/>
          </w:tcPr>
          <w:p w:rsidR="00732C9C" w:rsidRDefault="00EC1C2F" w:rsidP="00732C9C">
            <w:pPr>
              <w:ind w:left="432" w:hanging="432"/>
            </w:pPr>
            <w:r>
              <w:t>BWC</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EC1C2F"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EC1C2F" w:rsidP="00732C9C">
            <w:pPr>
              <w:ind w:left="432" w:hanging="432"/>
            </w:pPr>
            <w:r>
              <w:t>Mitchell B. Goldberg</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EC1C2F" w:rsidP="00732C9C">
            <w:pPr>
              <w:ind w:left="432" w:hanging="432"/>
            </w:pPr>
            <w:r>
              <w:t xml:space="preserve">Ingrid Jonas-Perry </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235D1C" w:rsidP="00732C9C">
            <w:pPr>
              <w:ind w:left="432" w:hanging="432"/>
            </w:pPr>
            <w:r>
              <w:t>Rhonda Morris</w:t>
            </w:r>
          </w:p>
        </w:tc>
      </w:tr>
      <w:tr w:rsidR="00732C9C" w:rsidTr="00732C9C">
        <w:tc>
          <w:tcPr>
            <w:tcW w:w="3708" w:type="dxa"/>
          </w:tcPr>
          <w:p w:rsidR="00732C9C" w:rsidRDefault="00732C9C" w:rsidP="00732C9C">
            <w:pPr>
              <w:rPr>
                <w:b/>
              </w:rPr>
            </w:pPr>
            <w:r>
              <w:rPr>
                <w:b/>
              </w:rPr>
              <w:t>2ND CHAIR:</w:t>
            </w:r>
          </w:p>
        </w:tc>
        <w:tc>
          <w:tcPr>
            <w:tcW w:w="6156" w:type="dxa"/>
          </w:tcPr>
          <w:p w:rsidR="00732C9C" w:rsidRDefault="00EC1C2F" w:rsidP="00732C9C">
            <w:pPr>
              <w:ind w:left="432" w:hanging="432"/>
            </w:pPr>
            <w:r>
              <w:t>Ryan Sarni</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EC1C2F" w:rsidP="00732C9C">
            <w:pPr>
              <w:ind w:left="432" w:hanging="432"/>
            </w:pPr>
            <w:r>
              <w:t>James Hauenstein</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EC1C2F" w:rsidP="00732C9C">
            <w:pPr>
              <w:ind w:left="432" w:hanging="432"/>
            </w:pPr>
            <w:r>
              <w:t>October 12,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EC1C2F" w:rsidP="00732C9C">
            <w:pPr>
              <w:ind w:left="432" w:hanging="432"/>
            </w:pPr>
            <w:r>
              <w:t>October 30,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EC1C2F" w:rsidP="00732C9C">
            <w:pPr>
              <w:ind w:left="432" w:hanging="432"/>
            </w:pPr>
            <w:r w:rsidRPr="00235D1C">
              <w:t>Modified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652036" w:rsidP="00732C9C">
            <w:pPr>
              <w:ind w:left="432" w:hanging="432"/>
            </w:pPr>
            <w:r>
              <w:t xml:space="preserve">Article 24—Discipline </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652036" w:rsidP="00732C9C">
            <w:pPr>
              <w:ind w:left="432" w:hanging="432"/>
            </w:pPr>
            <w:r>
              <w:t xml:space="preserve">118.01—Discipline-In General; 118.6364—Absence-Emergencies; 118.6367—Tardiness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641968">
        <w:rPr>
          <w:b/>
        </w:rPr>
        <w:t xml:space="preserve">Grievance </w:t>
      </w:r>
      <w:r w:rsidR="00EC1C2F">
        <w:rPr>
          <w:b/>
        </w:rPr>
        <w:t>MODIFI</w:t>
      </w:r>
      <w:r w:rsidR="00641968">
        <w:rPr>
          <w:b/>
        </w:rPr>
        <w:t xml:space="preserve">ED.  </w:t>
      </w:r>
      <w:r w:rsidR="00F44E69">
        <w:rPr>
          <w:b/>
        </w:rPr>
        <w:t xml:space="preserve">The Grievant was removed for failing to provide proper Physician Verification for numerous absences.  </w:t>
      </w:r>
      <w:r w:rsidR="00641968">
        <w:rPr>
          <w:b/>
        </w:rPr>
        <w:t>The Arbitrator found</w:t>
      </w:r>
      <w:r w:rsidR="008A5C2F">
        <w:rPr>
          <w:b/>
        </w:rPr>
        <w:t xml:space="preserve"> </w:t>
      </w:r>
      <w:r w:rsidR="00F44E69">
        <w:rPr>
          <w:b/>
        </w:rPr>
        <w:t xml:space="preserve">the PV requirement excessive under these facts and that </w:t>
      </w:r>
      <w:r w:rsidR="008A5C2F">
        <w:rPr>
          <w:b/>
        </w:rPr>
        <w:t>th</w:t>
      </w:r>
      <w:r w:rsidR="00235D1C">
        <w:rPr>
          <w:b/>
        </w:rPr>
        <w:t>e</w:t>
      </w:r>
      <w:r w:rsidR="008A5C2F">
        <w:rPr>
          <w:b/>
        </w:rPr>
        <w:t xml:space="preserve"> punish</w:t>
      </w:r>
      <w:r w:rsidR="00235D1C">
        <w:rPr>
          <w:b/>
        </w:rPr>
        <w:t>ment was not commensurate with t</w:t>
      </w:r>
      <w:r w:rsidR="00F44E69">
        <w:rPr>
          <w:b/>
        </w:rPr>
        <w:t>he offense.  The discipline was reduced to</w:t>
      </w:r>
      <w:r w:rsidR="001B77C5">
        <w:rPr>
          <w:b/>
        </w:rPr>
        <w:t xml:space="preserve"> a one day suspension.</w:t>
      </w:r>
      <w:r w:rsidR="008A5C2F">
        <w:rPr>
          <w:b/>
        </w:rPr>
        <w:t xml:space="preserve"> </w:t>
      </w:r>
    </w:p>
    <w:p w:rsidR="00641968" w:rsidRDefault="00641968" w:rsidP="00732C9C">
      <w:pPr>
        <w:rPr>
          <w:b/>
        </w:rPr>
      </w:pPr>
    </w:p>
    <w:p w:rsidR="00F44E69" w:rsidRDefault="00235D1C" w:rsidP="00732C9C">
      <w:r>
        <w:t xml:space="preserve">The </w:t>
      </w:r>
      <w:r w:rsidR="00EC1C2F">
        <w:t xml:space="preserve">Grievant was employed as a W.C. Claims Assistant at the BWC Lima Service Office. The Grievant’s </w:t>
      </w:r>
      <w:r w:rsidR="00F44E69">
        <w:t>discipline</w:t>
      </w:r>
      <w:r w:rsidR="00EC1C2F">
        <w:t xml:space="preserve"> record at the time of her removal consisted of a verbal reprimand, a one (1) day wor</w:t>
      </w:r>
      <w:r w:rsidR="00F45F6A">
        <w:t xml:space="preserve">king suspension with pay and a ten (10) day suspension without pay on May 13, 2008. The Grievant </w:t>
      </w:r>
      <w:r w:rsidR="00F44E69">
        <w:t xml:space="preserve">also </w:t>
      </w:r>
      <w:r w:rsidR="00F45F6A">
        <w:t xml:space="preserve">carried less than 20 hours of sick leave and </w:t>
      </w:r>
      <w:r w:rsidR="001B77C5">
        <w:t xml:space="preserve">the </w:t>
      </w:r>
      <w:r w:rsidR="00F45F6A">
        <w:t>Grievant’s supervisor place</w:t>
      </w:r>
      <w:r w:rsidR="00132C89">
        <w:t>d</w:t>
      </w:r>
      <w:r w:rsidR="00F45F6A">
        <w:t xml:space="preserve"> </w:t>
      </w:r>
      <w:r>
        <w:t>her</w:t>
      </w:r>
      <w:r w:rsidR="00F45F6A">
        <w:t xml:space="preserve"> on Physician’s Verification (PV) on December 22, 2009. </w:t>
      </w:r>
    </w:p>
    <w:p w:rsidR="00F44E69" w:rsidRDefault="00F44E69" w:rsidP="00732C9C"/>
    <w:p w:rsidR="00013C36" w:rsidRDefault="00F44E69" w:rsidP="00732C9C">
      <w:r>
        <w:t>T</w:t>
      </w:r>
      <w:r w:rsidR="001B77C5">
        <w:t xml:space="preserve">he </w:t>
      </w:r>
      <w:r w:rsidR="00F45F6A">
        <w:t>Grievant was ill</w:t>
      </w:r>
      <w:r w:rsidR="001B77C5">
        <w:t>,</w:t>
      </w:r>
      <w:r w:rsidR="00F45F6A">
        <w:t xml:space="preserve"> and did not report for work on January 5, 2010. </w:t>
      </w:r>
      <w:r w:rsidR="001B77C5">
        <w:t xml:space="preserve">The </w:t>
      </w:r>
      <w:r w:rsidR="00F45F6A">
        <w:t>Grievant submitted a Certificate to Return to Work signed by her trea</w:t>
      </w:r>
      <w:r w:rsidR="00235D1C">
        <w:t>ting physician on the same date and the Employer accepted it.</w:t>
      </w:r>
      <w:r w:rsidR="00F45F6A">
        <w:t xml:space="preserve"> </w:t>
      </w:r>
      <w:r w:rsidR="001B77C5">
        <w:t xml:space="preserve">The </w:t>
      </w:r>
      <w:r w:rsidR="00F45F6A">
        <w:t xml:space="preserve">Grievant was </w:t>
      </w:r>
      <w:r>
        <w:t xml:space="preserve">also </w:t>
      </w:r>
      <w:r w:rsidR="00F45F6A">
        <w:t>ill on January 7</w:t>
      </w:r>
      <w:r w:rsidR="00235D1C">
        <w:t>, 2010,</w:t>
      </w:r>
      <w:r w:rsidR="00F45F6A">
        <w:t xml:space="preserve"> and left early</w:t>
      </w:r>
      <w:r>
        <w:t xml:space="preserve"> and</w:t>
      </w:r>
      <w:r w:rsidR="00BF7872">
        <w:t xml:space="preserve"> missed work on January 8</w:t>
      </w:r>
      <w:r w:rsidR="001B77C5">
        <w:t>, 2010</w:t>
      </w:r>
      <w:r w:rsidR="00BF7872">
        <w:t xml:space="preserve">. </w:t>
      </w:r>
      <w:r w:rsidR="00B0090A">
        <w:t xml:space="preserve">The </w:t>
      </w:r>
      <w:r w:rsidR="00BF7872">
        <w:t>Grievant submitted another Certificat</w:t>
      </w:r>
      <w:r w:rsidR="001B77C5">
        <w:t>e, similar to the January 5 one;</w:t>
      </w:r>
      <w:r w:rsidR="00BF7872">
        <w:t xml:space="preserve"> </w:t>
      </w:r>
      <w:r w:rsidR="00B0090A">
        <w:t>which</w:t>
      </w:r>
      <w:r w:rsidR="00BF7872">
        <w:t xml:space="preserve"> state</w:t>
      </w:r>
      <w:r w:rsidR="00B0090A">
        <w:t>d</w:t>
      </w:r>
      <w:r w:rsidR="00BF7872">
        <w:t xml:space="preserve"> that </w:t>
      </w:r>
      <w:r w:rsidR="00B0090A">
        <w:t xml:space="preserve">the </w:t>
      </w:r>
      <w:r w:rsidR="00BF7872">
        <w:t xml:space="preserve">Grievant was under her physician’s care on the </w:t>
      </w:r>
      <w:r w:rsidR="001B77C5">
        <w:t>January 7 and 8,</w:t>
      </w:r>
      <w:r w:rsidR="00BF7872">
        <w:t xml:space="preserve"> and would be able to return on January 11</w:t>
      </w:r>
      <w:r w:rsidR="00B0090A">
        <w:t>, 2010</w:t>
      </w:r>
      <w:r w:rsidR="00BF7872">
        <w:t xml:space="preserve">. </w:t>
      </w:r>
    </w:p>
    <w:p w:rsidR="00013C36" w:rsidRDefault="00013C36" w:rsidP="00732C9C"/>
    <w:p w:rsidR="00641968" w:rsidRPr="00EC1C2F" w:rsidRDefault="00BF7872" w:rsidP="00732C9C">
      <w:r>
        <w:t xml:space="preserve">The issues to be resolved </w:t>
      </w:r>
      <w:r w:rsidR="00B0090A">
        <w:t>were</w:t>
      </w:r>
      <w:r>
        <w:t xml:space="preserve"> whether the Grievant violated the PV language in the CBA and/or policy</w:t>
      </w:r>
      <w:r w:rsidR="001B77C5">
        <w:t>;</w:t>
      </w:r>
      <w:r>
        <w:t xml:space="preserve"> if there </w:t>
      </w:r>
      <w:r w:rsidR="00B0090A">
        <w:t>were</w:t>
      </w:r>
      <w:r>
        <w:t xml:space="preserve"> mitigating or extenuating circumstances that would excuse a violation</w:t>
      </w:r>
      <w:r w:rsidR="001B77C5">
        <w:t>;</w:t>
      </w:r>
      <w:r w:rsidR="00B0090A">
        <w:t xml:space="preserve"> and whether</w:t>
      </w:r>
      <w:r>
        <w:t xml:space="preserve"> the Grievant’s tardiness on January 7, 2010, </w:t>
      </w:r>
      <w:r w:rsidR="00B0090A">
        <w:t>justified</w:t>
      </w:r>
      <w:r>
        <w:t xml:space="preserve"> her removal. </w:t>
      </w:r>
      <w:r w:rsidR="00F45F6A">
        <w:t xml:space="preserve">  </w:t>
      </w:r>
      <w:r w:rsidR="00EC1C2F">
        <w:t xml:space="preserve"> </w:t>
      </w:r>
    </w:p>
    <w:p w:rsidR="008A5C2F" w:rsidRDefault="008A5C2F" w:rsidP="008A5C2F"/>
    <w:p w:rsidR="008A5C2F" w:rsidRPr="002E602F" w:rsidRDefault="008A5C2F" w:rsidP="008A5C2F">
      <w:r w:rsidRPr="008A5C2F">
        <w:t>The Employer argued</w:t>
      </w:r>
      <w:r>
        <w:rPr>
          <w:b/>
        </w:rPr>
        <w:t xml:space="preserve"> </w:t>
      </w:r>
      <w:r>
        <w:t xml:space="preserve">that the Grievant violated the PV for her absences on January 7 and 8. </w:t>
      </w:r>
      <w:r w:rsidR="001B77C5">
        <w:t>It also</w:t>
      </w:r>
      <w:r>
        <w:t xml:space="preserve"> argued that the Grievant’s PV from Dr. Waldron dated January 11 was deficient because it did not indicate the Grievant had been examined by Dr. Waldron on either January 7 or 9. The January 11 statement was insufficient for the 7 and 8 dates. </w:t>
      </w:r>
    </w:p>
    <w:p w:rsidR="00641968" w:rsidRDefault="00641968" w:rsidP="00732C9C">
      <w:pPr>
        <w:rPr>
          <w:b/>
        </w:rPr>
      </w:pPr>
    </w:p>
    <w:p w:rsidR="00641968" w:rsidRPr="00B0090A" w:rsidRDefault="00B0090A" w:rsidP="00732C9C">
      <w:r>
        <w:t>The Union provided another statement from Dr. Waldron dated February 20, 2010</w:t>
      </w:r>
      <w:r w:rsidR="00B578A4">
        <w:t xml:space="preserve"> that stated the Grievant visited her on January 5, 2010, but Dr. Waldron could not see the Grievant. She referred the Grievant to Dr. Ellis. The Grievant called Dr. Waldron again on January 8, 2010, and informed her to see Dr. Ellis for treatment. </w:t>
      </w:r>
    </w:p>
    <w:p w:rsidR="00641968" w:rsidRDefault="00641968" w:rsidP="00732C9C">
      <w:pPr>
        <w:rPr>
          <w:b/>
        </w:rPr>
      </w:pPr>
    </w:p>
    <w:p w:rsidR="00641968" w:rsidRPr="00BF7872" w:rsidRDefault="00641968" w:rsidP="00732C9C">
      <w:r w:rsidRPr="008A5C2F">
        <w:t>The Arbitrator found</w:t>
      </w:r>
      <w:r>
        <w:rPr>
          <w:b/>
        </w:rPr>
        <w:t xml:space="preserve"> </w:t>
      </w:r>
      <w:r w:rsidR="00BF7872">
        <w:t>that the evidence presented d</w:t>
      </w:r>
      <w:r w:rsidR="00B578A4">
        <w:t>id</w:t>
      </w:r>
      <w:r w:rsidR="00BF7872">
        <w:t xml:space="preserve"> not support a finding under any recognizable arbitral standard of proof that the Grievant’s absences on January 7 and 8 should </w:t>
      </w:r>
      <w:r w:rsidR="00B578A4">
        <w:t>have been</w:t>
      </w:r>
      <w:r w:rsidR="00BF7872">
        <w:t xml:space="preserve"> considered as being unexcused. </w:t>
      </w:r>
      <w:r w:rsidR="002E602F">
        <w:t xml:space="preserve">Requiring a PV employee to visit a doctor or emergency care center to prove what </w:t>
      </w:r>
      <w:r w:rsidR="00B578A4">
        <w:t>was</w:t>
      </w:r>
      <w:r w:rsidR="002E602F">
        <w:t xml:space="preserve"> already known and apparent to management </w:t>
      </w:r>
      <w:r w:rsidR="00B578A4">
        <w:t>was</w:t>
      </w:r>
      <w:r w:rsidR="002E602F">
        <w:t xml:space="preserve"> a superfluous, unreasonable and unnecessary requirement under these facts. </w:t>
      </w:r>
      <w:r w:rsidR="009565A8">
        <w:t xml:space="preserve">The </w:t>
      </w:r>
      <w:r w:rsidR="008A5C2F">
        <w:t xml:space="preserve">Grievant’s tardiness was unexcused. </w:t>
      </w:r>
      <w:r w:rsidR="009565A8">
        <w:t xml:space="preserve">The </w:t>
      </w:r>
      <w:r w:rsidR="008A5C2F">
        <w:t>Grievant did not have an unexcused absence for January 7 or 8, and it c</w:t>
      </w:r>
      <w:r w:rsidR="009565A8">
        <w:t>ould not</w:t>
      </w:r>
      <w:r w:rsidR="008A5C2F">
        <w:t xml:space="preserve"> be found that discharging her for the January 7 tardiness </w:t>
      </w:r>
      <w:r w:rsidR="009565A8">
        <w:t>was</w:t>
      </w:r>
      <w:r w:rsidR="008A5C2F">
        <w:t xml:space="preserve"> a reasonable penalty commensurate with her offense. Corrective and progressive discipline should focus on her attendance performance, not her insubordinat</w:t>
      </w:r>
      <w:r w:rsidR="00132C89">
        <w:t xml:space="preserve">ion charge. The discharge </w:t>
      </w:r>
      <w:r w:rsidR="009565A8">
        <w:t>was vacated and removed fro</w:t>
      </w:r>
      <w:r w:rsidR="008A5C2F">
        <w:t xml:space="preserve">m the Grievant’s personnel records and </w:t>
      </w:r>
      <w:r w:rsidR="009565A8">
        <w:t xml:space="preserve">the Grievant </w:t>
      </w:r>
      <w:r w:rsidR="001B77C5">
        <w:t>is to be</w:t>
      </w:r>
      <w:r w:rsidR="008A5C2F">
        <w:t xml:space="preserve"> reinstated to her former position, but receive a 1-day suspension without pay for her tardiness on January 7, 2010 </w:t>
      </w:r>
      <w:r w:rsidR="002E602F">
        <w:t xml:space="preserve">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1704CF">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13C36"/>
    <w:rsid w:val="00027693"/>
    <w:rsid w:val="00132C89"/>
    <w:rsid w:val="001704CF"/>
    <w:rsid w:val="001B77C5"/>
    <w:rsid w:val="00235D1C"/>
    <w:rsid w:val="002E602F"/>
    <w:rsid w:val="00404646"/>
    <w:rsid w:val="0048083B"/>
    <w:rsid w:val="00641968"/>
    <w:rsid w:val="00652036"/>
    <w:rsid w:val="00732C9C"/>
    <w:rsid w:val="008A5C2F"/>
    <w:rsid w:val="009565A8"/>
    <w:rsid w:val="00A4574F"/>
    <w:rsid w:val="00B0090A"/>
    <w:rsid w:val="00B578A4"/>
    <w:rsid w:val="00BF7872"/>
    <w:rsid w:val="00EC1C2F"/>
    <w:rsid w:val="00F44E69"/>
    <w:rsid w:val="00F45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602</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6</cp:revision>
  <dcterms:created xsi:type="dcterms:W3CDTF">2011-10-18T13:59:00Z</dcterms:created>
  <dcterms:modified xsi:type="dcterms:W3CDTF">2012-04-04T14:33:00Z</dcterms:modified>
</cp:coreProperties>
</file>