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DE614E">
        <w:rPr>
          <w:b/>
          <w:u w:val="single"/>
        </w:rPr>
        <w:t>2097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DE614E">
              <w:rPr>
                <w:b/>
              </w:rPr>
              <w:t>2097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A4574F" w:rsidP="00732C9C">
            <w:pPr>
              <w:rPr>
                <w:b/>
              </w:rPr>
            </w:pPr>
            <w:r>
              <w:rPr>
                <w:b/>
              </w:rPr>
              <w:t>KRISTEN RANKIN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084894" w:rsidP="00732C9C">
            <w:pPr>
              <w:rPr>
                <w:b/>
              </w:rPr>
            </w:pPr>
            <w:r>
              <w:rPr>
                <w:b/>
              </w:rPr>
              <w:t>22-10-20100802</w:t>
            </w:r>
            <w:r w:rsidR="00DE614E">
              <w:rPr>
                <w:b/>
              </w:rPr>
              <w:t>-0001-01-14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>Ohio Lottery Commission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>OCSEA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 xml:space="preserve">David M. </w:t>
            </w:r>
            <w:proofErr w:type="spellStart"/>
            <w:r>
              <w:t>Pincus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proofErr w:type="spellStart"/>
            <w:r>
              <w:t>Jeanett</w:t>
            </w:r>
            <w:proofErr w:type="spellEnd"/>
            <w:r>
              <w:t xml:space="preserve"> Lewis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A32AC0" w:rsidP="00732C9C">
            <w:pPr>
              <w:ind w:left="432" w:hanging="432"/>
            </w:pPr>
            <w:r>
              <w:t>William Newsome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>Robert Robinson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767E57" w:rsidP="00732C9C">
            <w:pPr>
              <w:ind w:left="432" w:hanging="432"/>
            </w:pPr>
            <w:r>
              <w:t>July 26,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>October 1,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767E57" w:rsidP="00732C9C">
            <w:pPr>
              <w:ind w:left="432" w:hanging="432"/>
            </w:pPr>
            <w:r>
              <w:t>Modified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DE614E" w:rsidP="00767E57">
            <w:pPr>
              <w:ind w:left="432" w:hanging="432"/>
            </w:pPr>
            <w:r>
              <w:t>Article 24.01—</w:t>
            </w:r>
            <w:r w:rsidR="00767E57">
              <w:t>Discipline</w:t>
            </w:r>
            <w:r>
              <w:t>; Article 24.02—</w:t>
            </w:r>
            <w:r w:rsidR="00767E57">
              <w:t>Progressive Discipline</w:t>
            </w:r>
            <w:r>
              <w:t>; Article 44.02—</w:t>
            </w:r>
            <w:r w:rsidR="00767E57">
              <w:t>Operations of Rules and Law</w:t>
            </w:r>
            <w:r>
              <w:t>; Article 44.04—</w:t>
            </w:r>
            <w:r w:rsidR="00767E57">
              <w:t>Work Rules</w:t>
            </w:r>
            <w:r>
              <w:t>;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DE614E" w:rsidP="00732C9C">
            <w:pPr>
              <w:ind w:left="432" w:hanging="432"/>
            </w:pPr>
            <w:r>
              <w:t xml:space="preserve">118.01—Discipline-In General; 118.301—Progressive Discipline; </w:t>
            </w:r>
            <w:r w:rsidR="00767E57">
              <w:t xml:space="preserve">118.6481—Dishonesty-In General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Pr="00767E57" w:rsidRDefault="00732C9C" w:rsidP="003F1653">
      <w:pPr>
        <w:jc w:val="both"/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</w:t>
      </w:r>
      <w:r w:rsidR="00DE614E">
        <w:rPr>
          <w:b/>
        </w:rPr>
        <w:t>M</w:t>
      </w:r>
      <w:r w:rsidR="00A32AC0">
        <w:rPr>
          <w:b/>
        </w:rPr>
        <w:t>ODIFIED</w:t>
      </w:r>
      <w:r w:rsidR="00641968">
        <w:rPr>
          <w:b/>
        </w:rPr>
        <w:t xml:space="preserve">.  </w:t>
      </w:r>
      <w:r w:rsidR="00641968" w:rsidRPr="00A32AC0">
        <w:rPr>
          <w:b/>
        </w:rPr>
        <w:t xml:space="preserve">The </w:t>
      </w:r>
      <w:r w:rsidR="00767E57" w:rsidRPr="00A32AC0">
        <w:rPr>
          <w:b/>
        </w:rPr>
        <w:t xml:space="preserve">grievance </w:t>
      </w:r>
      <w:r w:rsidR="00A32AC0">
        <w:rPr>
          <w:b/>
        </w:rPr>
        <w:t>was granted</w:t>
      </w:r>
      <w:r w:rsidR="00767E57" w:rsidRPr="00A32AC0">
        <w:rPr>
          <w:b/>
        </w:rPr>
        <w:t xml:space="preserve"> in part and denied in part. The removal </w:t>
      </w:r>
      <w:r w:rsidR="003F1653">
        <w:rPr>
          <w:b/>
        </w:rPr>
        <w:t xml:space="preserve">was </w:t>
      </w:r>
      <w:r w:rsidR="003F1653" w:rsidRPr="00A32AC0">
        <w:rPr>
          <w:b/>
        </w:rPr>
        <w:t>modified</w:t>
      </w:r>
      <w:r w:rsidR="00767E57" w:rsidRPr="00A32AC0">
        <w:rPr>
          <w:b/>
        </w:rPr>
        <w:t xml:space="preserve"> to a thirty day suspension with back pay for any time served beyond the suspension period. </w:t>
      </w:r>
      <w:r w:rsidR="00A32AC0">
        <w:rPr>
          <w:b/>
        </w:rPr>
        <w:t xml:space="preserve">The </w:t>
      </w:r>
      <w:r w:rsidR="00767E57" w:rsidRPr="00A32AC0">
        <w:rPr>
          <w:b/>
        </w:rPr>
        <w:t xml:space="preserve">Grievant </w:t>
      </w:r>
      <w:r w:rsidR="00A32AC0">
        <w:rPr>
          <w:b/>
        </w:rPr>
        <w:t>was</w:t>
      </w:r>
      <w:r w:rsidR="00767E57" w:rsidRPr="00A32AC0">
        <w:rPr>
          <w:b/>
        </w:rPr>
        <w:t xml:space="preserve"> reinstated to her former position with no loss of seniority and all prior benefits </w:t>
      </w:r>
      <w:r w:rsidR="008C4CFB">
        <w:rPr>
          <w:b/>
        </w:rPr>
        <w:t xml:space="preserve">were </w:t>
      </w:r>
      <w:bookmarkStart w:id="0" w:name="_GoBack"/>
      <w:bookmarkEnd w:id="0"/>
      <w:r w:rsidR="00767E57" w:rsidRPr="00A32AC0">
        <w:rPr>
          <w:b/>
        </w:rPr>
        <w:t>restored.</w:t>
      </w:r>
      <w:r w:rsidR="00767E57">
        <w:t xml:space="preserve"> </w:t>
      </w:r>
    </w:p>
    <w:p w:rsidR="00641968" w:rsidRDefault="00641968" w:rsidP="003F1653">
      <w:pPr>
        <w:jc w:val="both"/>
        <w:rPr>
          <w:b/>
        </w:rPr>
      </w:pPr>
    </w:p>
    <w:p w:rsidR="00641968" w:rsidRPr="00DE614E" w:rsidRDefault="00B81C85" w:rsidP="003F1653">
      <w:pPr>
        <w:jc w:val="both"/>
      </w:pPr>
      <w:r>
        <w:t>The Grievant was hired as a full-time employee on June 28, 1991.  She was removed on January 30, 2010 with nineteen years of state service.</w:t>
      </w:r>
      <w:r w:rsidR="003F1653">
        <w:t xml:space="preserve"> </w:t>
      </w:r>
      <w:r>
        <w:t xml:space="preserve"> On March 31, 2009, then Director, Mike Dolan</w:t>
      </w:r>
      <w:r w:rsidR="003F1653">
        <w:t>,</w:t>
      </w:r>
      <w:r>
        <w:t xml:space="preserve"> sent an email to all employees regarding an Inspector General’s investigation of </w:t>
      </w:r>
      <w:r w:rsidR="003F1653">
        <w:t xml:space="preserve">the </w:t>
      </w:r>
      <w:r w:rsidR="00A32AC0">
        <w:t>u</w:t>
      </w:r>
      <w:r>
        <w:t>se of promotional tickets. D</w:t>
      </w:r>
      <w:r w:rsidR="00A32AC0">
        <w:t xml:space="preserve">olan cautioned all employees </w:t>
      </w:r>
      <w:r>
        <w:t xml:space="preserve">not </w:t>
      </w:r>
      <w:r w:rsidR="00A32AC0">
        <w:t xml:space="preserve">to </w:t>
      </w:r>
      <w:r>
        <w:t>distribute or utilize any pro</w:t>
      </w:r>
      <w:r w:rsidR="003F1653">
        <w:t>motional tickets.  The Grievant</w:t>
      </w:r>
      <w:r>
        <w:t xml:space="preserve"> invited her granddaughter’s mother to Northfield Park on July 17, 2009.</w:t>
      </w:r>
      <w:r w:rsidR="0072213A">
        <w:t xml:space="preserve"> </w:t>
      </w:r>
      <w:r w:rsidR="003F1653">
        <w:t xml:space="preserve"> </w:t>
      </w:r>
      <w:r w:rsidR="0072213A">
        <w:t>The Grievant had a significant number of promotional tickets which she gave to her granddaughter’s mother</w:t>
      </w:r>
      <w:r w:rsidR="00A32AC0">
        <w:t xml:space="preserve"> to play KENO</w:t>
      </w:r>
      <w:r w:rsidR="0072213A">
        <w:t>.</w:t>
      </w:r>
      <w:r w:rsidR="003F1653">
        <w:t xml:space="preserve"> </w:t>
      </w:r>
      <w:r w:rsidR="0072213A">
        <w:t xml:space="preserve"> In order to claim the prize from playing the ticket, it must be signed. Northfield Park personnel informed the Employer that one of its employees and a compatriot played nineteen promotional tickets and received an equal number of claim forms. The Grievant and her compatriot were identified as the culprits. The Grievant admitted signing the claim forms</w:t>
      </w:r>
      <w:r w:rsidR="00A32AC0">
        <w:t xml:space="preserve"> with a fictitious name</w:t>
      </w:r>
      <w:r w:rsidR="0072213A">
        <w:t>.</w:t>
      </w:r>
      <w:r w:rsidR="003F1653">
        <w:t xml:space="preserve"> </w:t>
      </w:r>
      <w:r w:rsidR="0072213A">
        <w:t xml:space="preserve"> On January 29, 2010, the Employer issued a removal order for violation of Policy HR-09-0</w:t>
      </w:r>
      <w:r w:rsidR="00F61D85">
        <w:t>1 Work rule IV-K, Dishonesty,</w:t>
      </w:r>
      <w:r w:rsidR="0072213A">
        <w:t xml:space="preserve"> </w:t>
      </w:r>
      <w:r w:rsidR="00BE4611">
        <w:t xml:space="preserve">violation of O.R.C. 124.34, </w:t>
      </w:r>
      <w:r w:rsidR="0072213A">
        <w:t>HR-09-01 Work rule III-E, Failure of Good Behavior</w:t>
      </w:r>
      <w:r w:rsidR="00F61D85">
        <w:t xml:space="preserve"> and Insubordination.</w:t>
      </w:r>
    </w:p>
    <w:p w:rsidR="00641968" w:rsidRDefault="00641968" w:rsidP="003F1653">
      <w:pPr>
        <w:jc w:val="both"/>
        <w:rPr>
          <w:b/>
        </w:rPr>
      </w:pPr>
    </w:p>
    <w:p w:rsidR="00F61D85" w:rsidRPr="00F61D85" w:rsidRDefault="00A32AC0" w:rsidP="003F1653">
      <w:pPr>
        <w:jc w:val="both"/>
      </w:pPr>
      <w:r>
        <w:t>The Employer argued that the discipline was timely and reasonable given the circumstances</w:t>
      </w:r>
      <w:r w:rsidR="00F61D85">
        <w:t xml:space="preserve">.  The July 17, 2009, </w:t>
      </w:r>
      <w:r w:rsidR="003F1653">
        <w:t xml:space="preserve">incident </w:t>
      </w:r>
      <w:r w:rsidR="00F61D85">
        <w:t>was brought to the Employer’s attention in September of 2009.  Interviews were initiated and analyzed which surfaced a number of discrepancies and caused another round of interviews to be conducted.  A pre-disciplinary hearing was conducted in January of 2010, when the parties were able to coordinate</w:t>
      </w:r>
      <w:r>
        <w:t xml:space="preserve"> their</w:t>
      </w:r>
      <w:r w:rsidR="00F61D85">
        <w:t xml:space="preserve"> calendars.  </w:t>
      </w:r>
      <w:r>
        <w:t>The Employer argued the Grievant was insubordinate when she disobeyed a direct order by her supervisor, Director Dolan</w:t>
      </w:r>
      <w:r w:rsidR="00F61D85">
        <w:t>.  The Grievant admitted to signing the claim forms, even though she used an alias somewhat related to her prior common law relationship</w:t>
      </w:r>
      <w:r>
        <w:t xml:space="preserve"> which the Employer argued amounted to dishonesty in violation of the work rule</w:t>
      </w:r>
      <w:r w:rsidR="00F61D85">
        <w:t xml:space="preserve">.  The </w:t>
      </w:r>
      <w:proofErr w:type="spellStart"/>
      <w:r w:rsidR="00F61D85">
        <w:t>Grievant’s</w:t>
      </w:r>
      <w:proofErr w:type="spellEnd"/>
      <w:r w:rsidR="00F61D85">
        <w:t xml:space="preserve"> explanations for her actions were inconsistent.  Her varying versions were not supported by </w:t>
      </w:r>
      <w:r w:rsidR="003B3C5E">
        <w:t xml:space="preserve">the union’s claim that a diabetic episode caused the </w:t>
      </w:r>
      <w:proofErr w:type="spellStart"/>
      <w:r w:rsidR="003B3C5E">
        <w:t>Grienvant</w:t>
      </w:r>
      <w:proofErr w:type="spellEnd"/>
      <w:r w:rsidR="003B3C5E">
        <w:t xml:space="preserve"> to be confuse </w:t>
      </w:r>
      <w:r w:rsidR="003B3C5E">
        <w:lastRenderedPageBreak/>
        <w:t>on the date in question</w:t>
      </w:r>
      <w:r w:rsidR="00F61D85">
        <w:t>.  Those varying explanations greatly reduce</w:t>
      </w:r>
      <w:r w:rsidR="003B3C5E">
        <w:t>d</w:t>
      </w:r>
      <w:r w:rsidR="00F61D85">
        <w:t xml:space="preserve"> the Grievant’s credibility, and thus, her general trustworthiness. </w:t>
      </w:r>
    </w:p>
    <w:p w:rsidR="00F61D85" w:rsidRDefault="00F61D85" w:rsidP="003F1653">
      <w:pPr>
        <w:jc w:val="both"/>
        <w:rPr>
          <w:b/>
        </w:rPr>
      </w:pPr>
    </w:p>
    <w:p w:rsidR="00641968" w:rsidRPr="00BE4611" w:rsidRDefault="00641968" w:rsidP="003F1653">
      <w:pPr>
        <w:jc w:val="both"/>
      </w:pPr>
      <w:r w:rsidRPr="00767E57">
        <w:t>The Union argued</w:t>
      </w:r>
      <w:r w:rsidR="00F61D85">
        <w:rPr>
          <w:b/>
        </w:rPr>
        <w:t xml:space="preserve"> </w:t>
      </w:r>
      <w:r w:rsidR="00BE4611">
        <w:t xml:space="preserve">that the Employer did not have just cause to remove the Grievant.  The Employer violated Article 24.02.  The six month delay </w:t>
      </w:r>
      <w:r w:rsidR="003B3C5E">
        <w:t xml:space="preserve">in issuing disciplined </w:t>
      </w:r>
      <w:r w:rsidR="00BE4611">
        <w:t>caused the unt</w:t>
      </w:r>
      <w:r w:rsidR="003B3C5E">
        <w:t xml:space="preserve">imely removal of the Grievant. </w:t>
      </w:r>
      <w:r w:rsidR="00BE4611">
        <w:t>The O.R.C. 124.34 claim was not prope</w:t>
      </w:r>
      <w:r w:rsidR="003B3C5E">
        <w:t>rly supported.  The record failed</w:t>
      </w:r>
      <w:r w:rsidR="00BE4611">
        <w:t xml:space="preserve"> to identify specific acts of misconduct in violation of this provision.  The Grievant was not insubordinate.  The Director’s email was not a directive in a classical </w:t>
      </w:r>
      <w:r w:rsidR="003F1653">
        <w:t>sense;</w:t>
      </w:r>
      <w:r w:rsidR="00BE4611">
        <w:t xml:space="preserve"> as such it could be used to support removal.  The Grievant did not violate Work rule IV-K.  Nothing in the rule equates signing a coupon as an act of dishonesty.  The Grievant signed the claim forms, but there were documented mitigating circumstances which faded her recollection.  </w:t>
      </w:r>
      <w:r w:rsidR="00321974">
        <w:t xml:space="preserve">Due to mitigating on the date in question, the Grievant </w:t>
      </w:r>
      <w:r w:rsidR="00140F54">
        <w:t xml:space="preserve">became confused, which could have caused her to sign the forms with an alias.  The Grievant is trustworthy and her work record supports this conclusion.  </w:t>
      </w:r>
    </w:p>
    <w:p w:rsidR="00641968" w:rsidRDefault="00641968" w:rsidP="003F1653">
      <w:pPr>
        <w:jc w:val="both"/>
        <w:rPr>
          <w:b/>
        </w:rPr>
      </w:pPr>
    </w:p>
    <w:p w:rsidR="00641968" w:rsidRPr="00140F54" w:rsidRDefault="00641968" w:rsidP="003F1653">
      <w:pPr>
        <w:jc w:val="both"/>
      </w:pPr>
      <w:r w:rsidRPr="00767E57">
        <w:t>The Arbitrator found</w:t>
      </w:r>
      <w:r>
        <w:rPr>
          <w:b/>
        </w:rPr>
        <w:t xml:space="preserve"> </w:t>
      </w:r>
      <w:r w:rsidR="00140F54">
        <w:t xml:space="preserve">that the Employer had just cause to discipline, but not remove the Grievant from employment.  The Employer did not violate Article 24.02, because most of the initial delay </w:t>
      </w:r>
      <w:r w:rsidR="003B3C5E">
        <w:t xml:space="preserve">in disciplining </w:t>
      </w:r>
      <w:r w:rsidR="00026B58">
        <w:t xml:space="preserve">the Grievant </w:t>
      </w:r>
      <w:r w:rsidR="00140F54">
        <w:t>was outside the Employer’s control.  The Grievant did not violate</w:t>
      </w:r>
      <w:r w:rsidR="007076B9">
        <w:t xml:space="preserve"> Work rule B-Insubordination.  The Arbitrator determined that the Employer failed to put employees on notice of the disciplinary consequences of not following the instructions in the email from Mr. Dolan.  </w:t>
      </w:r>
      <w:r w:rsidR="00140F54">
        <w:t xml:space="preserve">The dishonesty charge was elusive, and yet, discipline was unavoidable but somewhat mitigated.  The Grievant’s length of seniority, untarnished disciplinary record and strong prior performance record </w:t>
      </w:r>
      <w:r w:rsidR="003B3C5E">
        <w:t>persuaded the</w:t>
      </w:r>
      <w:r w:rsidR="00140F54">
        <w:t xml:space="preserve"> the Arbitrator to modify the </w:t>
      </w:r>
      <w:r w:rsidR="003B3C5E">
        <w:t>grievance</w:t>
      </w:r>
      <w:r w:rsidR="00140F54">
        <w:t xml:space="preserve">.  </w:t>
      </w:r>
    </w:p>
    <w:p w:rsidR="00732C9C" w:rsidRDefault="00732C9C" w:rsidP="003F1653">
      <w:pPr>
        <w:jc w:val="both"/>
        <w:rPr>
          <w:b/>
        </w:rPr>
      </w:pPr>
    </w:p>
    <w:p w:rsidR="00732C9C" w:rsidRDefault="00732C9C" w:rsidP="003F1653">
      <w:pPr>
        <w:jc w:val="both"/>
      </w:pPr>
    </w:p>
    <w:p w:rsidR="00732C9C" w:rsidRDefault="00732C9C" w:rsidP="003F1653">
      <w:pPr>
        <w:jc w:val="both"/>
      </w:pPr>
    </w:p>
    <w:p w:rsidR="00732C9C" w:rsidRDefault="00732C9C" w:rsidP="003F1653">
      <w:pPr>
        <w:jc w:val="both"/>
      </w:pPr>
    </w:p>
    <w:p w:rsidR="00732C9C" w:rsidRDefault="00732C9C" w:rsidP="003F1653">
      <w:pPr>
        <w:jc w:val="both"/>
      </w:pPr>
    </w:p>
    <w:sectPr w:rsidR="00732C9C" w:rsidSect="00D55E79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32C9C"/>
    <w:rsid w:val="00026B58"/>
    <w:rsid w:val="00084894"/>
    <w:rsid w:val="000B4D75"/>
    <w:rsid w:val="00140F54"/>
    <w:rsid w:val="00321974"/>
    <w:rsid w:val="003B3C5E"/>
    <w:rsid w:val="003F1653"/>
    <w:rsid w:val="00641968"/>
    <w:rsid w:val="007076B9"/>
    <w:rsid w:val="0072213A"/>
    <w:rsid w:val="00732C9C"/>
    <w:rsid w:val="00767E57"/>
    <w:rsid w:val="008C4CFB"/>
    <w:rsid w:val="00A32AC0"/>
    <w:rsid w:val="00A4574F"/>
    <w:rsid w:val="00B81C85"/>
    <w:rsid w:val="00BE4611"/>
    <w:rsid w:val="00D34688"/>
    <w:rsid w:val="00D55E79"/>
    <w:rsid w:val="00DE614E"/>
    <w:rsid w:val="00F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756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Aimee Szczerbacki</cp:lastModifiedBy>
  <cp:revision>10</cp:revision>
  <cp:lastPrinted>2011-12-13T17:40:00Z</cp:lastPrinted>
  <dcterms:created xsi:type="dcterms:W3CDTF">2011-05-27T16:35:00Z</dcterms:created>
  <dcterms:modified xsi:type="dcterms:W3CDTF">2011-12-13T17:42:00Z</dcterms:modified>
</cp:coreProperties>
</file>