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269A" w14:textId="77777777" w:rsidR="007046A1" w:rsidRPr="00DF5E0B" w:rsidRDefault="007046A1" w:rsidP="007046A1">
      <w:pPr>
        <w:jc w:val="center"/>
        <w:rPr>
          <w:b/>
          <w:sz w:val="22"/>
          <w:szCs w:val="22"/>
          <w:u w:val="single"/>
        </w:rPr>
      </w:pPr>
      <w:r w:rsidRPr="00DF5E0B">
        <w:rPr>
          <w:b/>
          <w:sz w:val="22"/>
          <w:szCs w:val="22"/>
          <w:u w:val="single"/>
        </w:rPr>
        <w:t>OCB AWARD NUMBER: 2706</w:t>
      </w:r>
    </w:p>
    <w:p w14:paraId="6318AD19" w14:textId="77777777" w:rsidR="007046A1" w:rsidRPr="00DF5E0B" w:rsidRDefault="007046A1" w:rsidP="007046A1">
      <w:pPr>
        <w:jc w:val="center"/>
        <w:rPr>
          <w:sz w:val="22"/>
          <w:szCs w:val="22"/>
        </w:rPr>
      </w:pPr>
    </w:p>
    <w:p w14:paraId="44B5790A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SUBJECT: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  <w:t>Arb Summary # 2706</w:t>
      </w:r>
    </w:p>
    <w:p w14:paraId="00F15020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TO: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  <w:t>All Advocates</w:t>
      </w:r>
    </w:p>
    <w:p w14:paraId="449B86C9" w14:textId="77777777" w:rsidR="007046A1" w:rsidRPr="00DF5E0B" w:rsidRDefault="007046A1" w:rsidP="007046A1">
      <w:pPr>
        <w:pStyle w:val="NoSpacing"/>
        <w:rPr>
          <w:sz w:val="22"/>
          <w:szCs w:val="22"/>
        </w:rPr>
      </w:pPr>
      <w:r w:rsidRPr="00DF5E0B">
        <w:rPr>
          <w:sz w:val="22"/>
          <w:szCs w:val="22"/>
        </w:rPr>
        <w:t>FROM: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F5E0B">
        <w:rPr>
          <w:sz w:val="22"/>
          <w:szCs w:val="22"/>
        </w:rPr>
        <w:t xml:space="preserve">Kate Nicholson </w:t>
      </w:r>
    </w:p>
    <w:p w14:paraId="1D8E987A" w14:textId="77777777" w:rsidR="007046A1" w:rsidRPr="00DF5E0B" w:rsidRDefault="007046A1" w:rsidP="007046A1">
      <w:pPr>
        <w:pStyle w:val="Default"/>
        <w:rPr>
          <w:sz w:val="22"/>
          <w:szCs w:val="22"/>
        </w:rPr>
      </w:pPr>
      <w:r w:rsidRPr="00DF5E0B">
        <w:rPr>
          <w:sz w:val="22"/>
          <w:szCs w:val="22"/>
        </w:rPr>
        <w:t>OCB GRIEVANCE NUMBER: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F5E0B">
        <w:rPr>
          <w:sz w:val="22"/>
          <w:szCs w:val="22"/>
        </w:rPr>
        <w:t>DRC-2021-02478-10</w:t>
      </w:r>
    </w:p>
    <w:p w14:paraId="027C3BE4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DEPARTMENT: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  <w:t xml:space="preserve">Department of Rehabilitation &amp; Correction </w:t>
      </w:r>
    </w:p>
    <w:p w14:paraId="73125CD0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UNION: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  <w:t>OEA</w:t>
      </w:r>
    </w:p>
    <w:p w14:paraId="227F803E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ARBITRATOR: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  <w:t>Robert Stein</w:t>
      </w:r>
    </w:p>
    <w:p w14:paraId="10678B7D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GRIEVANT NAME: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  <w:t>Shawn Masters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</w:p>
    <w:p w14:paraId="6F5F0064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MANAGEMENT ADVOCATE: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  <w:t>James Adkins</w:t>
      </w:r>
    </w:p>
    <w:p w14:paraId="2A9EEF32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UNION ADVOCATE: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F5E0B">
        <w:rPr>
          <w:sz w:val="22"/>
          <w:szCs w:val="22"/>
        </w:rPr>
        <w:t xml:space="preserve">Kerri Hoover </w:t>
      </w:r>
    </w:p>
    <w:p w14:paraId="2E4B162D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OCB REPRESENTATIVE: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  <w:t>Kate Nicholson</w:t>
      </w:r>
    </w:p>
    <w:p w14:paraId="119E7AFE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ARBITRATION DATE: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  <w:t>October 31, 2022</w:t>
      </w:r>
    </w:p>
    <w:p w14:paraId="07E1100F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DECISION DATE: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  <w:t>December 9, 2022</w:t>
      </w:r>
    </w:p>
    <w:p w14:paraId="6031C240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DECISION: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  <w:t>Grievance denied.</w:t>
      </w:r>
    </w:p>
    <w:p w14:paraId="6FF5F0EE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CONTRACT SECTIONS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  <w:t>13, 13.01, 13.02, 13.03, 13.04</w:t>
      </w:r>
    </w:p>
    <w:p w14:paraId="4928D8F1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OCB/BNA RESEARCH CODES: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</w:r>
    </w:p>
    <w:p w14:paraId="3F176068" w14:textId="77777777" w:rsidR="007046A1" w:rsidRPr="00DF5E0B" w:rsidRDefault="007046A1" w:rsidP="007046A1">
      <w:pPr>
        <w:rPr>
          <w:sz w:val="22"/>
          <w:szCs w:val="22"/>
        </w:rPr>
      </w:pPr>
      <w:r w:rsidRPr="00DF5E0B">
        <w:rPr>
          <w:sz w:val="22"/>
          <w:szCs w:val="22"/>
        </w:rPr>
        <w:t>KEYWORD SEARCH TERMS:</w:t>
      </w:r>
      <w:r w:rsidRPr="00DF5E0B">
        <w:rPr>
          <w:sz w:val="22"/>
          <w:szCs w:val="22"/>
        </w:rPr>
        <w:tab/>
      </w:r>
      <w:r w:rsidRPr="00DF5E0B">
        <w:rPr>
          <w:sz w:val="22"/>
          <w:szCs w:val="22"/>
        </w:rPr>
        <w:tab/>
        <w:t>Loss of Licensure, Substantive Arbitrability</w:t>
      </w:r>
    </w:p>
    <w:p w14:paraId="7EDA3ADD" w14:textId="77777777" w:rsidR="007046A1" w:rsidRPr="00DF5E0B" w:rsidRDefault="007046A1" w:rsidP="007046A1">
      <w:pPr>
        <w:rPr>
          <w:sz w:val="22"/>
          <w:szCs w:val="22"/>
        </w:rPr>
      </w:pPr>
    </w:p>
    <w:p w14:paraId="15111C43" w14:textId="77777777" w:rsidR="007046A1" w:rsidRPr="00DF5E0B" w:rsidRDefault="007046A1" w:rsidP="007046A1">
      <w:pPr>
        <w:jc w:val="both"/>
        <w:rPr>
          <w:bCs/>
          <w:sz w:val="22"/>
          <w:szCs w:val="22"/>
        </w:rPr>
      </w:pPr>
      <w:r w:rsidRPr="00DF5E0B">
        <w:rPr>
          <w:b/>
          <w:sz w:val="22"/>
          <w:szCs w:val="22"/>
        </w:rPr>
        <w:t>HOLDING: Grievance Denied</w:t>
      </w:r>
    </w:p>
    <w:p w14:paraId="4C75E013" w14:textId="77777777" w:rsidR="007046A1" w:rsidRPr="00DF5E0B" w:rsidRDefault="007046A1" w:rsidP="007046A1">
      <w:pPr>
        <w:jc w:val="both"/>
        <w:rPr>
          <w:sz w:val="22"/>
          <w:szCs w:val="22"/>
        </w:rPr>
      </w:pPr>
    </w:p>
    <w:p w14:paraId="61221969" w14:textId="77777777" w:rsidR="007046A1" w:rsidRPr="00DF5E0B" w:rsidRDefault="007046A1" w:rsidP="007046A1">
      <w:pPr>
        <w:jc w:val="both"/>
        <w:rPr>
          <w:sz w:val="22"/>
          <w:szCs w:val="22"/>
        </w:rPr>
      </w:pPr>
      <w:r w:rsidRPr="00DF5E0B">
        <w:rPr>
          <w:b/>
          <w:sz w:val="22"/>
          <w:szCs w:val="22"/>
        </w:rPr>
        <w:t xml:space="preserve">Facts: </w:t>
      </w:r>
      <w:r w:rsidRPr="00DF5E0B">
        <w:rPr>
          <w:bCs/>
          <w:sz w:val="22"/>
          <w:szCs w:val="22"/>
        </w:rPr>
        <w:t>In DRC and DYS, all credentialed staff must possess licensure and shall have valid teaching credentials (two (2) years or more) on July 1 of each year as defined by ODE for their specific parenthetical subtitle.  Any employee who fails to comply with these provision</w:t>
      </w:r>
      <w:r>
        <w:rPr>
          <w:bCs/>
          <w:sz w:val="22"/>
          <w:szCs w:val="22"/>
        </w:rPr>
        <w:t>s</w:t>
      </w:r>
      <w:r w:rsidRPr="00DF5E0B">
        <w:rPr>
          <w:bCs/>
          <w:sz w:val="22"/>
          <w:szCs w:val="22"/>
        </w:rPr>
        <w:t xml:space="preserve"> by July 1 of each year (as referenced above) is subject to termination and shall only be able to grieve such action through the Agency Step of the grievance process.</w:t>
      </w:r>
      <w:r w:rsidRPr="00DF5E0B">
        <w:rPr>
          <w:b/>
          <w:sz w:val="22"/>
          <w:szCs w:val="22"/>
        </w:rPr>
        <w:t xml:space="preserve">  </w:t>
      </w:r>
    </w:p>
    <w:p w14:paraId="7435A92F" w14:textId="77777777" w:rsidR="007046A1" w:rsidRPr="00DF5E0B" w:rsidRDefault="007046A1" w:rsidP="007046A1">
      <w:pPr>
        <w:jc w:val="both"/>
        <w:rPr>
          <w:b/>
          <w:sz w:val="22"/>
          <w:szCs w:val="22"/>
        </w:rPr>
      </w:pPr>
    </w:p>
    <w:p w14:paraId="49A85A53" w14:textId="7BB59A8C" w:rsidR="007046A1" w:rsidRPr="00DF5E0B" w:rsidRDefault="007046A1" w:rsidP="007046A1">
      <w:pPr>
        <w:jc w:val="both"/>
        <w:rPr>
          <w:sz w:val="22"/>
          <w:szCs w:val="22"/>
        </w:rPr>
      </w:pPr>
      <w:r w:rsidRPr="00DF5E0B">
        <w:rPr>
          <w:b/>
          <w:sz w:val="22"/>
          <w:szCs w:val="22"/>
        </w:rPr>
        <w:t>The Union argued:</w:t>
      </w:r>
      <w:r w:rsidRPr="00DF5E0B">
        <w:rPr>
          <w:sz w:val="22"/>
          <w:szCs w:val="22"/>
        </w:rPr>
        <w:t xml:space="preserve">  </w:t>
      </w:r>
      <w:r>
        <w:rPr>
          <w:sz w:val="22"/>
          <w:szCs w:val="22"/>
        </w:rPr>
        <w:t>Grievant</w:t>
      </w:r>
      <w:r w:rsidRPr="00DF5E0B">
        <w:rPr>
          <w:sz w:val="22"/>
          <w:szCs w:val="22"/>
        </w:rPr>
        <w:t xml:space="preserve"> met his responsibility “to maintain current certification(s) required for his/her present classification and parenthetical title,” and to do so “by July 1” as required by Section 10.01 of the CBA.   A review of </w:t>
      </w:r>
      <w:proofErr w:type="spellStart"/>
      <w:r>
        <w:rPr>
          <w:sz w:val="22"/>
          <w:szCs w:val="22"/>
        </w:rPr>
        <w:t>Grievant’s</w:t>
      </w:r>
      <w:proofErr w:type="spellEnd"/>
      <w:r w:rsidRPr="00DF5E0B">
        <w:rPr>
          <w:sz w:val="22"/>
          <w:szCs w:val="22"/>
        </w:rPr>
        <w:t xml:space="preserve"> licensure at ODE shows that he currently holds a 5 Year Professional Career Technical license.  This licensure was issued to him on July 6, 2021, with an effective date of July 1, 2021.  At no time did </w:t>
      </w:r>
      <w:r>
        <w:rPr>
          <w:sz w:val="22"/>
          <w:szCs w:val="22"/>
        </w:rPr>
        <w:t>the Grievant</w:t>
      </w:r>
      <w:r w:rsidRPr="00DF5E0B">
        <w:rPr>
          <w:sz w:val="22"/>
          <w:szCs w:val="22"/>
        </w:rPr>
        <w:t xml:space="preserve"> teach without a license.  </w:t>
      </w:r>
      <w:r>
        <w:rPr>
          <w:sz w:val="22"/>
          <w:szCs w:val="22"/>
        </w:rPr>
        <w:t>Grievant</w:t>
      </w:r>
      <w:r w:rsidRPr="00DF5E0B">
        <w:rPr>
          <w:sz w:val="22"/>
          <w:szCs w:val="22"/>
        </w:rPr>
        <w:t xml:space="preserve"> was on an approximate 2-week inter-session (vacation) prior to his return to work on July 6, 2021, when the inter-session ended.  </w:t>
      </w:r>
      <w:r>
        <w:rPr>
          <w:sz w:val="22"/>
          <w:szCs w:val="22"/>
        </w:rPr>
        <w:t>Grievant</w:t>
      </w:r>
      <w:r w:rsidRPr="00DF5E0B">
        <w:rPr>
          <w:sz w:val="22"/>
          <w:szCs w:val="22"/>
        </w:rPr>
        <w:t xml:space="preserve"> was advised by ODE on July 6, 2021, that his licensure renewal has been issued and he at no time taught without licensure</w:t>
      </w:r>
      <w:r w:rsidR="00941C52">
        <w:rPr>
          <w:sz w:val="22"/>
          <w:szCs w:val="22"/>
        </w:rPr>
        <w:t>.</w:t>
      </w:r>
    </w:p>
    <w:p w14:paraId="5A9DEB81" w14:textId="77777777" w:rsidR="007046A1" w:rsidRPr="00DF5E0B" w:rsidRDefault="007046A1" w:rsidP="007046A1">
      <w:pPr>
        <w:jc w:val="both"/>
        <w:rPr>
          <w:b/>
          <w:sz w:val="22"/>
          <w:szCs w:val="22"/>
        </w:rPr>
      </w:pPr>
    </w:p>
    <w:p w14:paraId="7760AD65" w14:textId="77777777" w:rsidR="007046A1" w:rsidRPr="00DF5E0B" w:rsidRDefault="007046A1" w:rsidP="007046A1">
      <w:pPr>
        <w:jc w:val="both"/>
        <w:rPr>
          <w:bCs/>
          <w:sz w:val="22"/>
          <w:szCs w:val="22"/>
        </w:rPr>
      </w:pPr>
      <w:r w:rsidRPr="00DF5E0B">
        <w:rPr>
          <w:b/>
          <w:sz w:val="22"/>
          <w:szCs w:val="22"/>
        </w:rPr>
        <w:t xml:space="preserve">The Employer argued: </w:t>
      </w:r>
      <w:r w:rsidRPr="00DF5E0B">
        <w:rPr>
          <w:bCs/>
          <w:sz w:val="22"/>
          <w:szCs w:val="22"/>
        </w:rPr>
        <w:t>By the express terms of the parties’ negotiated collective bargaining agreement, this grievance is not arbitrable.  A ruling in the Union’s favor would result in a direct violation of the contract.  Other arbitrators have said that when language is unambiguous it must be upheld.</w:t>
      </w:r>
      <w:r w:rsidRPr="00DF5E0B">
        <w:rPr>
          <w:b/>
          <w:sz w:val="22"/>
          <w:szCs w:val="22"/>
        </w:rPr>
        <w:t xml:space="preserve">  </w:t>
      </w:r>
      <w:r w:rsidRPr="00DF5E0B">
        <w:rPr>
          <w:bCs/>
          <w:sz w:val="22"/>
          <w:szCs w:val="22"/>
        </w:rPr>
        <w:t xml:space="preserve"> </w:t>
      </w:r>
    </w:p>
    <w:p w14:paraId="52E8ED5B" w14:textId="77777777" w:rsidR="007046A1" w:rsidRPr="00DF5E0B" w:rsidRDefault="007046A1" w:rsidP="007046A1">
      <w:pPr>
        <w:jc w:val="both"/>
        <w:rPr>
          <w:bCs/>
          <w:sz w:val="22"/>
          <w:szCs w:val="22"/>
        </w:rPr>
      </w:pPr>
    </w:p>
    <w:p w14:paraId="4CE6AB07" w14:textId="77777777" w:rsidR="007046A1" w:rsidRPr="00DF5E0B" w:rsidRDefault="007046A1" w:rsidP="007046A1">
      <w:pPr>
        <w:jc w:val="both"/>
        <w:rPr>
          <w:bCs/>
          <w:sz w:val="22"/>
          <w:szCs w:val="22"/>
        </w:rPr>
      </w:pPr>
      <w:r w:rsidRPr="00DF5E0B">
        <w:rPr>
          <w:b/>
          <w:sz w:val="22"/>
          <w:szCs w:val="22"/>
        </w:rPr>
        <w:t>The Arbitrator found:</w:t>
      </w:r>
      <w:r w:rsidRPr="00DF5E0B">
        <w:rPr>
          <w:bCs/>
          <w:sz w:val="22"/>
          <w:szCs w:val="22"/>
        </w:rPr>
        <w:t xml:space="preserve"> Grievance Denied.  The arbitrator, adhering to the Agreement, must yield to the “bright line rule” language in Article 10.1 that limits a bargaining unit member’s grievance appeal rights to the Agency step as agreed to by the parties.  </w:t>
      </w:r>
    </w:p>
    <w:p w14:paraId="483C05C2" w14:textId="77777777" w:rsidR="007046A1" w:rsidRPr="00DF5E0B" w:rsidRDefault="007046A1" w:rsidP="007046A1">
      <w:pPr>
        <w:jc w:val="both"/>
        <w:rPr>
          <w:bCs/>
          <w:sz w:val="22"/>
          <w:szCs w:val="22"/>
        </w:rPr>
      </w:pPr>
    </w:p>
    <w:p w14:paraId="41B5B1A1" w14:textId="77777777" w:rsidR="007046A1" w:rsidRPr="00DF5E0B" w:rsidRDefault="007046A1" w:rsidP="007046A1">
      <w:pPr>
        <w:jc w:val="both"/>
        <w:rPr>
          <w:b/>
          <w:sz w:val="22"/>
          <w:szCs w:val="22"/>
          <w:u w:val="single"/>
        </w:rPr>
      </w:pPr>
      <w:r w:rsidRPr="00DF5E0B">
        <w:rPr>
          <w:b/>
          <w:sz w:val="22"/>
          <w:szCs w:val="22"/>
        </w:rPr>
        <w:t>Grievance DENIED.</w:t>
      </w:r>
    </w:p>
    <w:p w14:paraId="726C3245" w14:textId="77777777" w:rsidR="007046A1" w:rsidRPr="00DF5E0B" w:rsidRDefault="007046A1" w:rsidP="007046A1">
      <w:pPr>
        <w:jc w:val="both"/>
        <w:rPr>
          <w:bCs/>
          <w:sz w:val="22"/>
          <w:szCs w:val="22"/>
        </w:rPr>
      </w:pPr>
    </w:p>
    <w:p w14:paraId="3BD17787" w14:textId="77777777" w:rsidR="007046A1" w:rsidRPr="00DF5E0B" w:rsidRDefault="007046A1" w:rsidP="007046A1">
      <w:pPr>
        <w:jc w:val="center"/>
        <w:rPr>
          <w:b/>
          <w:sz w:val="22"/>
          <w:szCs w:val="22"/>
          <w:u w:val="single"/>
        </w:rPr>
      </w:pPr>
    </w:p>
    <w:p w14:paraId="5EF61778" w14:textId="77777777" w:rsidR="00CA63E3" w:rsidRDefault="00CA63E3"/>
    <w:sectPr w:rsidR="00CA6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A1"/>
    <w:rsid w:val="001D575E"/>
    <w:rsid w:val="002C1F30"/>
    <w:rsid w:val="007046A1"/>
    <w:rsid w:val="00941C52"/>
    <w:rsid w:val="00CA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36FD"/>
  <w15:chartTrackingRefBased/>
  <w15:docId w15:val="{A7F31650-5CAD-4561-8F88-F8FC3EAD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46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704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Katharine</dc:creator>
  <cp:keywords/>
  <dc:description/>
  <cp:lastModifiedBy>Nicholson, Katharine</cp:lastModifiedBy>
  <cp:revision>2</cp:revision>
  <dcterms:created xsi:type="dcterms:W3CDTF">2023-02-02T14:22:00Z</dcterms:created>
  <dcterms:modified xsi:type="dcterms:W3CDTF">2023-02-02T14:22:00Z</dcterms:modified>
</cp:coreProperties>
</file>