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7664" w14:textId="77777777" w:rsidR="009D1979" w:rsidRPr="001923A0" w:rsidRDefault="009D1979" w:rsidP="009D1979">
      <w:pPr>
        <w:jc w:val="center"/>
        <w:rPr>
          <w:b/>
          <w:sz w:val="22"/>
          <w:szCs w:val="22"/>
          <w:u w:val="single"/>
        </w:rPr>
      </w:pPr>
      <w:r w:rsidRPr="001923A0">
        <w:rPr>
          <w:b/>
          <w:sz w:val="22"/>
          <w:szCs w:val="22"/>
          <w:u w:val="single"/>
        </w:rPr>
        <w:t>OCB AWARD NUMBER:</w:t>
      </w:r>
      <w:r>
        <w:rPr>
          <w:b/>
          <w:sz w:val="22"/>
          <w:szCs w:val="22"/>
          <w:u w:val="single"/>
        </w:rPr>
        <w:t xml:space="preserve"> 2671 </w:t>
      </w:r>
    </w:p>
    <w:p w14:paraId="4E8E8749" w14:textId="77777777" w:rsidR="009D1979" w:rsidRPr="001923A0" w:rsidRDefault="009D1979" w:rsidP="009D1979">
      <w:pPr>
        <w:jc w:val="center"/>
        <w:rPr>
          <w:sz w:val="22"/>
          <w:szCs w:val="22"/>
        </w:rPr>
      </w:pPr>
    </w:p>
    <w:p w14:paraId="4CE8D4C2" w14:textId="77777777" w:rsidR="009D1979" w:rsidRPr="001923A0" w:rsidRDefault="009D1979" w:rsidP="009D1979">
      <w:pPr>
        <w:rPr>
          <w:sz w:val="22"/>
          <w:szCs w:val="22"/>
        </w:rPr>
      </w:pPr>
      <w:r w:rsidRPr="001923A0">
        <w:rPr>
          <w:sz w:val="22"/>
          <w:szCs w:val="22"/>
        </w:rPr>
        <w:t>SUBJECT:</w:t>
      </w:r>
      <w:r w:rsidRPr="001923A0">
        <w:rPr>
          <w:sz w:val="22"/>
          <w:szCs w:val="22"/>
        </w:rPr>
        <w:tab/>
      </w:r>
      <w:r w:rsidRPr="001923A0">
        <w:rPr>
          <w:sz w:val="22"/>
          <w:szCs w:val="22"/>
        </w:rPr>
        <w:tab/>
      </w:r>
      <w:r w:rsidRPr="001923A0">
        <w:rPr>
          <w:sz w:val="22"/>
          <w:szCs w:val="22"/>
        </w:rPr>
        <w:tab/>
      </w:r>
      <w:r w:rsidRPr="001923A0">
        <w:rPr>
          <w:sz w:val="22"/>
          <w:szCs w:val="22"/>
        </w:rPr>
        <w:tab/>
        <w:t xml:space="preserve">Arb Summary # </w:t>
      </w:r>
      <w:r>
        <w:rPr>
          <w:sz w:val="22"/>
          <w:szCs w:val="22"/>
        </w:rPr>
        <w:t>2671</w:t>
      </w:r>
    </w:p>
    <w:p w14:paraId="1B36FD22" w14:textId="77777777" w:rsidR="009D1979" w:rsidRPr="001923A0" w:rsidRDefault="009D1979" w:rsidP="009D1979">
      <w:pPr>
        <w:rPr>
          <w:sz w:val="22"/>
          <w:szCs w:val="22"/>
        </w:rPr>
      </w:pPr>
      <w:r w:rsidRPr="001923A0">
        <w:rPr>
          <w:sz w:val="22"/>
          <w:szCs w:val="22"/>
        </w:rPr>
        <w:t>TO:</w:t>
      </w:r>
      <w:r w:rsidRPr="001923A0">
        <w:rPr>
          <w:sz w:val="22"/>
          <w:szCs w:val="22"/>
        </w:rPr>
        <w:tab/>
      </w:r>
      <w:r w:rsidRPr="001923A0">
        <w:rPr>
          <w:sz w:val="22"/>
          <w:szCs w:val="22"/>
        </w:rPr>
        <w:tab/>
      </w:r>
      <w:r w:rsidRPr="001923A0">
        <w:rPr>
          <w:sz w:val="22"/>
          <w:szCs w:val="22"/>
        </w:rPr>
        <w:tab/>
      </w:r>
      <w:r w:rsidRPr="001923A0">
        <w:rPr>
          <w:sz w:val="22"/>
          <w:szCs w:val="22"/>
        </w:rPr>
        <w:tab/>
      </w:r>
      <w:r w:rsidRPr="001923A0">
        <w:rPr>
          <w:sz w:val="22"/>
          <w:szCs w:val="22"/>
        </w:rPr>
        <w:tab/>
        <w:t>All Advocates</w:t>
      </w:r>
    </w:p>
    <w:p w14:paraId="2799AEFC" w14:textId="77777777" w:rsidR="009D1979" w:rsidRPr="001923A0" w:rsidRDefault="009D1979" w:rsidP="009D1979">
      <w:pPr>
        <w:pStyle w:val="NoSpacing"/>
        <w:rPr>
          <w:sz w:val="22"/>
          <w:szCs w:val="22"/>
        </w:rPr>
      </w:pPr>
      <w:r w:rsidRPr="001923A0">
        <w:rPr>
          <w:sz w:val="22"/>
          <w:szCs w:val="22"/>
        </w:rPr>
        <w:t>FROM:</w:t>
      </w:r>
      <w:r w:rsidRPr="001923A0">
        <w:rPr>
          <w:sz w:val="22"/>
          <w:szCs w:val="22"/>
        </w:rPr>
        <w:tab/>
      </w:r>
      <w:r w:rsidRPr="001923A0">
        <w:rPr>
          <w:sz w:val="22"/>
          <w:szCs w:val="22"/>
        </w:rPr>
        <w:tab/>
      </w:r>
      <w:r w:rsidRPr="001923A0">
        <w:rPr>
          <w:sz w:val="22"/>
          <w:szCs w:val="22"/>
        </w:rPr>
        <w:tab/>
      </w:r>
      <w:r w:rsidRPr="001923A0">
        <w:rPr>
          <w:sz w:val="22"/>
          <w:szCs w:val="22"/>
        </w:rPr>
        <w:tab/>
      </w:r>
      <w:r>
        <w:rPr>
          <w:sz w:val="22"/>
          <w:szCs w:val="22"/>
        </w:rPr>
        <w:tab/>
        <w:t xml:space="preserve">Rachel </w:t>
      </w:r>
      <w:proofErr w:type="spellStart"/>
      <w:r>
        <w:rPr>
          <w:sz w:val="22"/>
          <w:szCs w:val="22"/>
        </w:rPr>
        <w:t>Dornoff</w:t>
      </w:r>
      <w:proofErr w:type="spellEnd"/>
    </w:p>
    <w:p w14:paraId="4DDAC4C6" w14:textId="77777777" w:rsidR="009D1979" w:rsidRPr="001923A0" w:rsidRDefault="009D1979" w:rsidP="009D1979">
      <w:pPr>
        <w:pStyle w:val="NoSpacing"/>
        <w:rPr>
          <w:sz w:val="22"/>
          <w:szCs w:val="22"/>
        </w:rPr>
      </w:pPr>
      <w:r w:rsidRPr="001923A0">
        <w:rPr>
          <w:sz w:val="22"/>
          <w:szCs w:val="22"/>
        </w:rPr>
        <w:t>OCB GRIEVANCE NUMBER:</w:t>
      </w:r>
      <w:r w:rsidRPr="001923A0">
        <w:rPr>
          <w:sz w:val="22"/>
          <w:szCs w:val="22"/>
        </w:rPr>
        <w:tab/>
      </w:r>
      <w:r>
        <w:rPr>
          <w:sz w:val="22"/>
          <w:szCs w:val="22"/>
        </w:rPr>
        <w:tab/>
        <w:t>DMR-2020-01080-4</w:t>
      </w:r>
    </w:p>
    <w:p w14:paraId="5CBBC7DB" w14:textId="77777777" w:rsidR="009D1979" w:rsidRPr="001923A0" w:rsidRDefault="009D1979" w:rsidP="009D1979">
      <w:pPr>
        <w:ind w:left="3600" w:hanging="3600"/>
        <w:rPr>
          <w:sz w:val="22"/>
          <w:szCs w:val="22"/>
        </w:rPr>
      </w:pPr>
      <w:r w:rsidRPr="001923A0">
        <w:rPr>
          <w:sz w:val="22"/>
          <w:szCs w:val="22"/>
        </w:rPr>
        <w:t>DEPARTMENT:</w:t>
      </w:r>
      <w:r w:rsidRPr="001923A0">
        <w:rPr>
          <w:sz w:val="22"/>
          <w:szCs w:val="22"/>
        </w:rPr>
        <w:tab/>
      </w:r>
      <w:r>
        <w:rPr>
          <w:sz w:val="22"/>
          <w:szCs w:val="22"/>
        </w:rPr>
        <w:t>State of Ohio, Department of Developmental Disabilities Columbus Developmental Center</w:t>
      </w:r>
    </w:p>
    <w:p w14:paraId="2AEEF3ED" w14:textId="77777777" w:rsidR="009D1979" w:rsidRPr="001923A0" w:rsidRDefault="009D1979" w:rsidP="009D1979">
      <w:pPr>
        <w:rPr>
          <w:sz w:val="22"/>
          <w:szCs w:val="22"/>
        </w:rPr>
      </w:pPr>
      <w:r w:rsidRPr="001923A0">
        <w:rPr>
          <w:sz w:val="22"/>
          <w:szCs w:val="22"/>
        </w:rPr>
        <w:t>UNION:</w:t>
      </w:r>
      <w:r w:rsidRPr="001923A0">
        <w:rPr>
          <w:sz w:val="22"/>
          <w:szCs w:val="22"/>
        </w:rPr>
        <w:tab/>
      </w:r>
      <w:r w:rsidRPr="001923A0">
        <w:rPr>
          <w:sz w:val="22"/>
          <w:szCs w:val="22"/>
        </w:rPr>
        <w:tab/>
      </w:r>
      <w:r w:rsidRPr="001923A0">
        <w:rPr>
          <w:sz w:val="22"/>
          <w:szCs w:val="22"/>
        </w:rPr>
        <w:tab/>
      </w:r>
      <w:r w:rsidRPr="001923A0">
        <w:rPr>
          <w:sz w:val="22"/>
          <w:szCs w:val="22"/>
        </w:rPr>
        <w:tab/>
      </w:r>
      <w:r>
        <w:rPr>
          <w:sz w:val="22"/>
          <w:szCs w:val="22"/>
        </w:rPr>
        <w:t>OCSEA</w:t>
      </w:r>
    </w:p>
    <w:p w14:paraId="2C109CFF" w14:textId="77777777" w:rsidR="009D1979" w:rsidRPr="001923A0" w:rsidRDefault="009D1979" w:rsidP="009D1979">
      <w:pPr>
        <w:rPr>
          <w:sz w:val="22"/>
          <w:szCs w:val="22"/>
        </w:rPr>
      </w:pPr>
      <w:r w:rsidRPr="001923A0">
        <w:rPr>
          <w:sz w:val="22"/>
          <w:szCs w:val="22"/>
        </w:rPr>
        <w:t>ARBITRATOR:</w:t>
      </w:r>
      <w:r w:rsidRPr="001923A0">
        <w:rPr>
          <w:sz w:val="22"/>
          <w:szCs w:val="22"/>
        </w:rPr>
        <w:tab/>
      </w:r>
      <w:r w:rsidRPr="001923A0">
        <w:rPr>
          <w:sz w:val="22"/>
          <w:szCs w:val="22"/>
        </w:rPr>
        <w:tab/>
      </w:r>
      <w:r w:rsidRPr="001923A0">
        <w:rPr>
          <w:sz w:val="22"/>
          <w:szCs w:val="22"/>
        </w:rPr>
        <w:tab/>
      </w:r>
      <w:r>
        <w:rPr>
          <w:sz w:val="22"/>
          <w:szCs w:val="22"/>
        </w:rPr>
        <w:t>Howard D. Silver, Esquire</w:t>
      </w:r>
    </w:p>
    <w:p w14:paraId="1463AA92" w14:textId="77777777" w:rsidR="009D1979" w:rsidRPr="001923A0" w:rsidRDefault="009D1979" w:rsidP="009D1979">
      <w:pPr>
        <w:rPr>
          <w:sz w:val="22"/>
          <w:szCs w:val="22"/>
        </w:rPr>
      </w:pPr>
      <w:r w:rsidRPr="001923A0">
        <w:rPr>
          <w:sz w:val="22"/>
          <w:szCs w:val="22"/>
        </w:rPr>
        <w:t>GRIEVANT NAME:</w:t>
      </w:r>
      <w:r w:rsidRPr="001923A0">
        <w:rPr>
          <w:sz w:val="22"/>
          <w:szCs w:val="22"/>
        </w:rPr>
        <w:tab/>
      </w:r>
      <w:r w:rsidRPr="001923A0">
        <w:rPr>
          <w:sz w:val="22"/>
          <w:szCs w:val="22"/>
        </w:rPr>
        <w:tab/>
      </w:r>
      <w:r w:rsidRPr="001923A0">
        <w:rPr>
          <w:sz w:val="22"/>
          <w:szCs w:val="22"/>
        </w:rPr>
        <w:tab/>
      </w:r>
      <w:proofErr w:type="spellStart"/>
      <w:r>
        <w:rPr>
          <w:sz w:val="22"/>
          <w:szCs w:val="22"/>
        </w:rPr>
        <w:t>Dieudonne</w:t>
      </w:r>
      <w:proofErr w:type="spellEnd"/>
      <w:r>
        <w:rPr>
          <w:sz w:val="22"/>
          <w:szCs w:val="22"/>
        </w:rPr>
        <w:t xml:space="preserve"> </w:t>
      </w:r>
      <w:proofErr w:type="spellStart"/>
      <w:r>
        <w:rPr>
          <w:sz w:val="22"/>
          <w:szCs w:val="22"/>
        </w:rPr>
        <w:t>Tabot</w:t>
      </w:r>
      <w:proofErr w:type="spellEnd"/>
      <w:r w:rsidRPr="001923A0">
        <w:rPr>
          <w:sz w:val="22"/>
          <w:szCs w:val="22"/>
        </w:rPr>
        <w:tab/>
      </w:r>
      <w:r w:rsidRPr="001923A0">
        <w:rPr>
          <w:sz w:val="22"/>
          <w:szCs w:val="22"/>
        </w:rPr>
        <w:tab/>
      </w:r>
      <w:r w:rsidRPr="001923A0">
        <w:rPr>
          <w:sz w:val="22"/>
          <w:szCs w:val="22"/>
        </w:rPr>
        <w:tab/>
      </w:r>
    </w:p>
    <w:p w14:paraId="4E9364E7" w14:textId="77777777" w:rsidR="009D1979" w:rsidRPr="001923A0" w:rsidRDefault="009D1979" w:rsidP="009D1979">
      <w:pPr>
        <w:rPr>
          <w:sz w:val="22"/>
          <w:szCs w:val="22"/>
        </w:rPr>
      </w:pPr>
      <w:r w:rsidRPr="001923A0">
        <w:rPr>
          <w:sz w:val="22"/>
          <w:szCs w:val="22"/>
        </w:rPr>
        <w:t>MANAGEMENT ADVOCATE:</w:t>
      </w:r>
      <w:r w:rsidRPr="001923A0">
        <w:rPr>
          <w:sz w:val="22"/>
          <w:szCs w:val="22"/>
        </w:rPr>
        <w:tab/>
      </w:r>
      <w:r>
        <w:rPr>
          <w:sz w:val="22"/>
          <w:szCs w:val="22"/>
        </w:rPr>
        <w:t>Jill M. Harlan</w:t>
      </w:r>
    </w:p>
    <w:p w14:paraId="0792BECC" w14:textId="77777777" w:rsidR="009D1979" w:rsidRPr="001923A0" w:rsidRDefault="009D1979" w:rsidP="009D1979">
      <w:pPr>
        <w:rPr>
          <w:sz w:val="22"/>
          <w:szCs w:val="22"/>
        </w:rPr>
      </w:pPr>
      <w:r w:rsidRPr="001923A0">
        <w:rPr>
          <w:sz w:val="22"/>
          <w:szCs w:val="22"/>
        </w:rPr>
        <w:t>UNION ADVOCATE:</w:t>
      </w:r>
      <w:r w:rsidRPr="001923A0">
        <w:rPr>
          <w:sz w:val="22"/>
          <w:szCs w:val="22"/>
        </w:rPr>
        <w:tab/>
      </w:r>
      <w:r w:rsidRPr="001923A0">
        <w:rPr>
          <w:sz w:val="22"/>
          <w:szCs w:val="22"/>
        </w:rPr>
        <w:tab/>
      </w:r>
      <w:r>
        <w:rPr>
          <w:sz w:val="22"/>
          <w:szCs w:val="22"/>
        </w:rPr>
        <w:tab/>
        <w:t>Michael Tenney</w:t>
      </w:r>
    </w:p>
    <w:p w14:paraId="23AE5986" w14:textId="2CB88465" w:rsidR="009D1979" w:rsidRPr="001923A0" w:rsidRDefault="009D1979" w:rsidP="009D1979">
      <w:pPr>
        <w:rPr>
          <w:sz w:val="22"/>
          <w:szCs w:val="22"/>
        </w:rPr>
      </w:pPr>
      <w:r w:rsidRPr="001923A0">
        <w:rPr>
          <w:sz w:val="22"/>
          <w:szCs w:val="22"/>
        </w:rPr>
        <w:t>OCB REPRESENTATIVE:</w:t>
      </w:r>
      <w:r w:rsidRPr="001923A0">
        <w:rPr>
          <w:sz w:val="22"/>
          <w:szCs w:val="22"/>
        </w:rPr>
        <w:tab/>
      </w:r>
      <w:r w:rsidRPr="001923A0">
        <w:rPr>
          <w:sz w:val="22"/>
          <w:szCs w:val="22"/>
        </w:rPr>
        <w:tab/>
      </w:r>
      <w:r w:rsidR="005E1CE7" w:rsidRPr="00F57EB7">
        <w:rPr>
          <w:sz w:val="22"/>
          <w:szCs w:val="22"/>
        </w:rPr>
        <w:t>Victor Dandridge</w:t>
      </w:r>
    </w:p>
    <w:p w14:paraId="72AD331B" w14:textId="77777777" w:rsidR="009D1979" w:rsidRPr="001923A0" w:rsidRDefault="009D1979" w:rsidP="009D1979">
      <w:pPr>
        <w:rPr>
          <w:sz w:val="22"/>
          <w:szCs w:val="22"/>
        </w:rPr>
      </w:pPr>
      <w:r w:rsidRPr="001923A0">
        <w:rPr>
          <w:sz w:val="22"/>
          <w:szCs w:val="22"/>
        </w:rPr>
        <w:t>ARBITRATION DATE:</w:t>
      </w:r>
      <w:r w:rsidRPr="001923A0">
        <w:rPr>
          <w:sz w:val="22"/>
          <w:szCs w:val="22"/>
        </w:rPr>
        <w:tab/>
      </w:r>
      <w:r w:rsidRPr="001923A0">
        <w:rPr>
          <w:sz w:val="22"/>
          <w:szCs w:val="22"/>
        </w:rPr>
        <w:tab/>
      </w:r>
      <w:r>
        <w:rPr>
          <w:sz w:val="22"/>
          <w:szCs w:val="22"/>
        </w:rPr>
        <w:t>May 6, 2021</w:t>
      </w:r>
    </w:p>
    <w:p w14:paraId="798E934F" w14:textId="77777777" w:rsidR="009D1979" w:rsidRPr="001923A0" w:rsidRDefault="009D1979" w:rsidP="009D1979">
      <w:pPr>
        <w:rPr>
          <w:sz w:val="22"/>
          <w:szCs w:val="22"/>
        </w:rPr>
      </w:pPr>
      <w:r w:rsidRPr="001923A0">
        <w:rPr>
          <w:sz w:val="22"/>
          <w:szCs w:val="22"/>
        </w:rPr>
        <w:t>DECISION DATE:</w:t>
      </w:r>
      <w:r w:rsidRPr="001923A0">
        <w:rPr>
          <w:sz w:val="22"/>
          <w:szCs w:val="22"/>
        </w:rPr>
        <w:tab/>
      </w:r>
      <w:r w:rsidRPr="001923A0">
        <w:rPr>
          <w:sz w:val="22"/>
          <w:szCs w:val="22"/>
        </w:rPr>
        <w:tab/>
      </w:r>
      <w:r w:rsidRPr="001923A0">
        <w:rPr>
          <w:sz w:val="22"/>
          <w:szCs w:val="22"/>
        </w:rPr>
        <w:tab/>
      </w:r>
      <w:r>
        <w:rPr>
          <w:sz w:val="22"/>
          <w:szCs w:val="22"/>
        </w:rPr>
        <w:t>July 7, 2021</w:t>
      </w:r>
    </w:p>
    <w:p w14:paraId="6DB62B51" w14:textId="77777777" w:rsidR="009D1979" w:rsidRPr="001923A0" w:rsidRDefault="009D1979" w:rsidP="009D1979">
      <w:pPr>
        <w:rPr>
          <w:sz w:val="22"/>
          <w:szCs w:val="22"/>
        </w:rPr>
      </w:pPr>
      <w:r w:rsidRPr="001923A0">
        <w:rPr>
          <w:sz w:val="22"/>
          <w:szCs w:val="22"/>
        </w:rPr>
        <w:t>DECISION:</w:t>
      </w:r>
      <w:r w:rsidRPr="001923A0">
        <w:rPr>
          <w:sz w:val="22"/>
          <w:szCs w:val="22"/>
        </w:rPr>
        <w:tab/>
      </w:r>
      <w:r w:rsidRPr="001923A0">
        <w:rPr>
          <w:sz w:val="22"/>
          <w:szCs w:val="22"/>
        </w:rPr>
        <w:tab/>
      </w:r>
      <w:r w:rsidRPr="001923A0">
        <w:rPr>
          <w:sz w:val="22"/>
          <w:szCs w:val="22"/>
        </w:rPr>
        <w:tab/>
      </w:r>
      <w:r w:rsidRPr="001923A0">
        <w:rPr>
          <w:sz w:val="22"/>
          <w:szCs w:val="22"/>
        </w:rPr>
        <w:tab/>
      </w:r>
      <w:r>
        <w:rPr>
          <w:sz w:val="22"/>
          <w:szCs w:val="22"/>
        </w:rPr>
        <w:t xml:space="preserve">Grievance DENIED </w:t>
      </w:r>
    </w:p>
    <w:p w14:paraId="00A8B8BE" w14:textId="77777777" w:rsidR="009D1979" w:rsidRPr="001923A0" w:rsidRDefault="009D1979" w:rsidP="009D1979">
      <w:pPr>
        <w:rPr>
          <w:sz w:val="22"/>
          <w:szCs w:val="22"/>
        </w:rPr>
      </w:pPr>
      <w:r w:rsidRPr="001923A0">
        <w:rPr>
          <w:sz w:val="22"/>
          <w:szCs w:val="22"/>
        </w:rPr>
        <w:t>CONTRACT SECTIONS</w:t>
      </w:r>
      <w:r w:rsidRPr="001923A0">
        <w:rPr>
          <w:sz w:val="22"/>
          <w:szCs w:val="22"/>
        </w:rPr>
        <w:tab/>
      </w:r>
      <w:r w:rsidRPr="001923A0">
        <w:rPr>
          <w:sz w:val="22"/>
          <w:szCs w:val="22"/>
        </w:rPr>
        <w:tab/>
      </w:r>
      <w:r>
        <w:rPr>
          <w:sz w:val="22"/>
          <w:szCs w:val="22"/>
        </w:rPr>
        <w:t>24.01</w:t>
      </w:r>
    </w:p>
    <w:p w14:paraId="63C3FD4E" w14:textId="77777777" w:rsidR="009D1979" w:rsidRPr="001923A0" w:rsidRDefault="009D1979" w:rsidP="009D1979">
      <w:pPr>
        <w:rPr>
          <w:sz w:val="22"/>
          <w:szCs w:val="22"/>
        </w:rPr>
      </w:pPr>
      <w:r w:rsidRPr="001923A0">
        <w:rPr>
          <w:sz w:val="22"/>
          <w:szCs w:val="22"/>
        </w:rPr>
        <w:t>OCB/BNA RESEARCH CODES:</w:t>
      </w:r>
      <w:r w:rsidRPr="001923A0">
        <w:rPr>
          <w:sz w:val="22"/>
          <w:szCs w:val="22"/>
        </w:rPr>
        <w:tab/>
      </w:r>
      <w:r>
        <w:rPr>
          <w:sz w:val="22"/>
          <w:szCs w:val="22"/>
        </w:rPr>
        <w:t>113.04; 118.01; 118.315; 118.6513</w:t>
      </w:r>
    </w:p>
    <w:p w14:paraId="70D98096" w14:textId="77777777" w:rsidR="009D1979" w:rsidRPr="001923A0" w:rsidRDefault="009D1979" w:rsidP="009D1979">
      <w:pPr>
        <w:rPr>
          <w:sz w:val="22"/>
          <w:szCs w:val="22"/>
        </w:rPr>
      </w:pPr>
      <w:r w:rsidRPr="001923A0">
        <w:rPr>
          <w:sz w:val="22"/>
          <w:szCs w:val="22"/>
        </w:rPr>
        <w:t>KEYWORD SEARCH TERMS:</w:t>
      </w:r>
      <w:r w:rsidRPr="001923A0">
        <w:rPr>
          <w:sz w:val="22"/>
          <w:szCs w:val="22"/>
        </w:rPr>
        <w:tab/>
      </w:r>
      <w:r>
        <w:rPr>
          <w:sz w:val="22"/>
          <w:szCs w:val="22"/>
        </w:rPr>
        <w:t>Resident Abuse; Just Cause for Termination; Physical Violence</w:t>
      </w:r>
    </w:p>
    <w:p w14:paraId="6326EB55" w14:textId="77777777" w:rsidR="009D1979" w:rsidRPr="001923A0" w:rsidRDefault="009D1979" w:rsidP="009D1979">
      <w:pPr>
        <w:rPr>
          <w:sz w:val="22"/>
          <w:szCs w:val="22"/>
        </w:rPr>
      </w:pPr>
    </w:p>
    <w:p w14:paraId="671F0AFF" w14:textId="77777777" w:rsidR="009D1979" w:rsidRPr="001923A0" w:rsidRDefault="009D1979" w:rsidP="009D1979">
      <w:pPr>
        <w:jc w:val="center"/>
        <w:rPr>
          <w:sz w:val="22"/>
          <w:szCs w:val="22"/>
        </w:rPr>
      </w:pPr>
    </w:p>
    <w:p w14:paraId="2CF5C0CA" w14:textId="77777777" w:rsidR="009D1979" w:rsidRPr="001923A0" w:rsidRDefault="009D1979" w:rsidP="009D1979">
      <w:pPr>
        <w:rPr>
          <w:bCs/>
          <w:sz w:val="22"/>
          <w:szCs w:val="22"/>
        </w:rPr>
      </w:pPr>
      <w:r w:rsidRPr="001923A0">
        <w:rPr>
          <w:b/>
          <w:sz w:val="22"/>
          <w:szCs w:val="22"/>
        </w:rPr>
        <w:t xml:space="preserve">HOLDING: </w:t>
      </w:r>
      <w:r w:rsidRPr="00A616F7">
        <w:rPr>
          <w:b/>
          <w:bCs/>
          <w:sz w:val="22"/>
          <w:szCs w:val="22"/>
        </w:rPr>
        <w:t>Grievance DENIED</w:t>
      </w:r>
      <w:r w:rsidRPr="001923A0">
        <w:rPr>
          <w:bCs/>
          <w:sz w:val="22"/>
          <w:szCs w:val="22"/>
        </w:rPr>
        <w:t>.</w:t>
      </w:r>
      <w:r>
        <w:rPr>
          <w:bCs/>
          <w:sz w:val="22"/>
          <w:szCs w:val="22"/>
        </w:rPr>
        <w:t xml:space="preserve"> The abuse was proven by the evidence in the hearing record through the support of video and other testimony by staff members. The Grievant perpetrated physical violence against a resident of the facility and provides just cause for their termination. </w:t>
      </w:r>
    </w:p>
    <w:p w14:paraId="6AF1CB4A" w14:textId="77777777" w:rsidR="009D1979" w:rsidRPr="001923A0" w:rsidRDefault="009D1979" w:rsidP="009D1979">
      <w:pPr>
        <w:rPr>
          <w:sz w:val="22"/>
          <w:szCs w:val="22"/>
        </w:rPr>
      </w:pPr>
    </w:p>
    <w:p w14:paraId="5910C1C7" w14:textId="56114A79" w:rsidR="009D1979" w:rsidRPr="001923A0" w:rsidRDefault="009D1979" w:rsidP="009D1979">
      <w:pPr>
        <w:rPr>
          <w:bCs/>
          <w:sz w:val="22"/>
          <w:szCs w:val="22"/>
        </w:rPr>
      </w:pPr>
      <w:r w:rsidRPr="001923A0">
        <w:rPr>
          <w:b/>
          <w:sz w:val="22"/>
          <w:szCs w:val="22"/>
        </w:rPr>
        <w:t xml:space="preserve">Facts: </w:t>
      </w:r>
      <w:r w:rsidRPr="00F158CC">
        <w:rPr>
          <w:bCs/>
          <w:sz w:val="22"/>
          <w:szCs w:val="22"/>
        </w:rPr>
        <w:t xml:space="preserve">The </w:t>
      </w:r>
      <w:r>
        <w:rPr>
          <w:bCs/>
          <w:sz w:val="22"/>
          <w:szCs w:val="22"/>
        </w:rPr>
        <w:t xml:space="preserve">grievant was a 5-year employee who worked as a Therapeutic Program Worker at the Columbus Developmental Center with no past discipline. On the morning of January 8, 2020, an independent contractor </w:t>
      </w:r>
      <w:proofErr w:type="gramStart"/>
      <w:r>
        <w:rPr>
          <w:bCs/>
          <w:sz w:val="22"/>
          <w:szCs w:val="22"/>
        </w:rPr>
        <w:t>present</w:t>
      </w:r>
      <w:proofErr w:type="gramEnd"/>
      <w:r>
        <w:rPr>
          <w:bCs/>
          <w:sz w:val="22"/>
          <w:szCs w:val="22"/>
        </w:rPr>
        <w:t xml:space="preserve"> to draw blood of some residents heard a slap coming from a resident’s room. She stopped and looked inside to see the grievant slapping a resident across the face. She reported the </w:t>
      </w:r>
      <w:r w:rsidR="00F57EB7">
        <w:rPr>
          <w:bCs/>
          <w:sz w:val="22"/>
          <w:szCs w:val="22"/>
        </w:rPr>
        <w:t>incident,</w:t>
      </w:r>
      <w:r>
        <w:rPr>
          <w:bCs/>
          <w:sz w:val="22"/>
          <w:szCs w:val="22"/>
        </w:rPr>
        <w:t xml:space="preserve"> and the Employer completed an internal investigation. Upon completion of the investigation the grievant was fired for abusing a resident. </w:t>
      </w:r>
    </w:p>
    <w:p w14:paraId="72E6DEB5" w14:textId="77777777" w:rsidR="009D1979" w:rsidRPr="001923A0" w:rsidRDefault="009D1979" w:rsidP="009D1979">
      <w:pPr>
        <w:rPr>
          <w:b/>
          <w:sz w:val="22"/>
          <w:szCs w:val="22"/>
        </w:rPr>
      </w:pPr>
    </w:p>
    <w:p w14:paraId="1DFAC9C8" w14:textId="1C28A9AE" w:rsidR="009D1979" w:rsidRPr="001923A0" w:rsidRDefault="009D1979" w:rsidP="009D1979">
      <w:pPr>
        <w:rPr>
          <w:sz w:val="22"/>
          <w:szCs w:val="22"/>
        </w:rPr>
      </w:pPr>
      <w:r w:rsidRPr="001923A0">
        <w:rPr>
          <w:b/>
          <w:sz w:val="22"/>
          <w:szCs w:val="22"/>
        </w:rPr>
        <w:t>The Union argued:</w:t>
      </w:r>
      <w:r w:rsidRPr="001923A0">
        <w:rPr>
          <w:sz w:val="22"/>
          <w:szCs w:val="22"/>
        </w:rPr>
        <w:t xml:space="preserve">  </w:t>
      </w:r>
      <w:r>
        <w:rPr>
          <w:sz w:val="22"/>
          <w:szCs w:val="22"/>
        </w:rPr>
        <w:t xml:space="preserve">The Employer failed to complete a full and complete investigation </w:t>
      </w:r>
      <w:r w:rsidR="005E41A4" w:rsidRPr="00F57EB7">
        <w:rPr>
          <w:sz w:val="22"/>
          <w:szCs w:val="22"/>
        </w:rPr>
        <w:t>and</w:t>
      </w:r>
      <w:r w:rsidR="005E41A4">
        <w:rPr>
          <w:sz w:val="22"/>
          <w:szCs w:val="22"/>
        </w:rPr>
        <w:t xml:space="preserve"> </w:t>
      </w:r>
      <w:r>
        <w:rPr>
          <w:sz w:val="22"/>
          <w:szCs w:val="22"/>
        </w:rPr>
        <w:t xml:space="preserve">did not provide clear and convincing evidence in support of the </w:t>
      </w:r>
      <w:proofErr w:type="spellStart"/>
      <w:r>
        <w:rPr>
          <w:sz w:val="22"/>
          <w:szCs w:val="22"/>
        </w:rPr>
        <w:t>grievant’s</w:t>
      </w:r>
      <w:proofErr w:type="spellEnd"/>
      <w:r>
        <w:rPr>
          <w:sz w:val="22"/>
          <w:szCs w:val="22"/>
        </w:rPr>
        <w:t xml:space="preserve"> termination. The Union claimed the Employer should have interviewed the resident who was hit </w:t>
      </w:r>
      <w:r w:rsidR="005E41A4" w:rsidRPr="00F57EB7">
        <w:rPr>
          <w:sz w:val="22"/>
          <w:szCs w:val="22"/>
        </w:rPr>
        <w:t>as well as</w:t>
      </w:r>
      <w:r w:rsidR="005E41A4">
        <w:rPr>
          <w:sz w:val="22"/>
          <w:szCs w:val="22"/>
        </w:rPr>
        <w:t xml:space="preserve"> </w:t>
      </w:r>
      <w:r>
        <w:rPr>
          <w:sz w:val="22"/>
          <w:szCs w:val="22"/>
        </w:rPr>
        <w:t xml:space="preserve">the independent contractor </w:t>
      </w:r>
      <w:proofErr w:type="gramStart"/>
      <w:r>
        <w:rPr>
          <w:sz w:val="22"/>
          <w:szCs w:val="22"/>
        </w:rPr>
        <w:t>in order to</w:t>
      </w:r>
      <w:proofErr w:type="gramEnd"/>
      <w:r>
        <w:rPr>
          <w:sz w:val="22"/>
          <w:szCs w:val="22"/>
        </w:rPr>
        <w:t xml:space="preserve"> conduct a complete and through investigation</w:t>
      </w:r>
      <w:r w:rsidR="005E41A4" w:rsidRPr="00F57EB7">
        <w:rPr>
          <w:sz w:val="22"/>
          <w:szCs w:val="22"/>
        </w:rPr>
        <w:t>.</w:t>
      </w:r>
      <w:r>
        <w:rPr>
          <w:sz w:val="22"/>
          <w:szCs w:val="22"/>
        </w:rPr>
        <w:t xml:space="preserve"> They also argued against the credibility of the only </w:t>
      </w:r>
      <w:r w:rsidR="00F57EB7">
        <w:rPr>
          <w:sz w:val="22"/>
          <w:szCs w:val="22"/>
        </w:rPr>
        <w:t>eyewitness</w:t>
      </w:r>
      <w:r>
        <w:rPr>
          <w:sz w:val="22"/>
          <w:szCs w:val="22"/>
        </w:rPr>
        <w:t xml:space="preserve"> of the event, claiming her report and testimony were full of inconsistencies. The Union claimed the inadequate investigation by the Employer, lack of physical evidence and reliable testimony to the events require the grievance to be granted. </w:t>
      </w:r>
    </w:p>
    <w:p w14:paraId="391BB33B" w14:textId="77777777" w:rsidR="009D1979" w:rsidRPr="001923A0" w:rsidRDefault="009D1979" w:rsidP="009D1979">
      <w:pPr>
        <w:rPr>
          <w:b/>
          <w:sz w:val="22"/>
          <w:szCs w:val="22"/>
        </w:rPr>
      </w:pPr>
    </w:p>
    <w:p w14:paraId="76B7B366" w14:textId="77777777" w:rsidR="009D1979" w:rsidRPr="001923A0" w:rsidRDefault="009D1979" w:rsidP="009D1979">
      <w:pPr>
        <w:rPr>
          <w:sz w:val="22"/>
          <w:szCs w:val="22"/>
        </w:rPr>
      </w:pPr>
      <w:r w:rsidRPr="001923A0">
        <w:rPr>
          <w:b/>
          <w:sz w:val="22"/>
          <w:szCs w:val="22"/>
        </w:rPr>
        <w:t>The Employer argued:</w:t>
      </w:r>
      <w:r>
        <w:rPr>
          <w:b/>
          <w:sz w:val="22"/>
          <w:szCs w:val="22"/>
        </w:rPr>
        <w:t xml:space="preserve"> </w:t>
      </w:r>
      <w:r>
        <w:rPr>
          <w:bCs/>
          <w:sz w:val="22"/>
          <w:szCs w:val="22"/>
        </w:rPr>
        <w:t>There was just cause for termination because of reliable eye-witness testimony recounting the grievant physically abusing a resident. The witness reported the incident immediately and had no reason to lie or fabricate events. When the grievant engaged in unacceptable care by slapping a resident, the grievant forfeited his claim to continuing employment. The physical abuse perpetrated by the grievant provided just cause for removal</w:t>
      </w:r>
      <w:proofErr w:type="gramStart"/>
      <w:r>
        <w:rPr>
          <w:bCs/>
          <w:sz w:val="22"/>
          <w:szCs w:val="22"/>
        </w:rPr>
        <w:t xml:space="preserve">. </w:t>
      </w:r>
      <w:r w:rsidRPr="001923A0">
        <w:rPr>
          <w:sz w:val="22"/>
          <w:szCs w:val="22"/>
        </w:rPr>
        <w:t xml:space="preserve"> </w:t>
      </w:r>
      <w:proofErr w:type="gramEnd"/>
    </w:p>
    <w:p w14:paraId="006A4F83" w14:textId="77777777" w:rsidR="009D1979" w:rsidRPr="001923A0" w:rsidRDefault="009D1979" w:rsidP="009D1979">
      <w:pPr>
        <w:rPr>
          <w:bCs/>
          <w:sz w:val="22"/>
          <w:szCs w:val="22"/>
        </w:rPr>
      </w:pPr>
      <w:r w:rsidRPr="001923A0">
        <w:rPr>
          <w:bCs/>
          <w:sz w:val="22"/>
          <w:szCs w:val="22"/>
        </w:rPr>
        <w:t xml:space="preserve">                                                                                                                                                       </w:t>
      </w:r>
    </w:p>
    <w:p w14:paraId="09790705" w14:textId="38D4E010" w:rsidR="009D1979" w:rsidRPr="00B4044A" w:rsidRDefault="009D1979" w:rsidP="009D1979">
      <w:pPr>
        <w:rPr>
          <w:sz w:val="22"/>
          <w:szCs w:val="22"/>
        </w:rPr>
      </w:pPr>
      <w:r w:rsidRPr="001923A0">
        <w:rPr>
          <w:b/>
          <w:sz w:val="22"/>
          <w:szCs w:val="22"/>
        </w:rPr>
        <w:t>The Arbitrator found:</w:t>
      </w:r>
      <w:r w:rsidRPr="001923A0">
        <w:rPr>
          <w:bCs/>
          <w:sz w:val="22"/>
          <w:szCs w:val="22"/>
        </w:rPr>
        <w:t xml:space="preserve"> </w:t>
      </w:r>
      <w:r>
        <w:rPr>
          <w:bCs/>
          <w:sz w:val="22"/>
          <w:szCs w:val="22"/>
        </w:rPr>
        <w:t xml:space="preserve">The Employer was required to prove by a preponderance of the evidence that there was just cause for terminating an employee. The grievant was terminated for cause because there was sufficient proof in the hearing record to find the grievant abused a client under his care. Based on the evidence presented at the arbitration, the arbitrator believed the witness who reported the abuse to be credible. Her timeline left no room for error, aligned with the video footage available, and was supported by other testimony by staff. Therefore, the grievance is </w:t>
      </w:r>
      <w:r>
        <w:rPr>
          <w:b/>
          <w:sz w:val="22"/>
          <w:szCs w:val="22"/>
        </w:rPr>
        <w:t>DENIED</w:t>
      </w:r>
      <w:proofErr w:type="gramStart"/>
      <w:r>
        <w:rPr>
          <w:b/>
          <w:sz w:val="22"/>
          <w:szCs w:val="22"/>
        </w:rPr>
        <w:t xml:space="preserve">. </w:t>
      </w:r>
      <w:r>
        <w:rPr>
          <w:bCs/>
          <w:sz w:val="22"/>
          <w:szCs w:val="22"/>
        </w:rPr>
        <w:t xml:space="preserve"> </w:t>
      </w:r>
      <w:proofErr w:type="gramEnd"/>
      <w:r w:rsidRPr="003A24CC">
        <w:rPr>
          <w:rFonts w:ascii="Arial" w:hAnsi="Arial" w:cs="Arial"/>
          <w:sz w:val="16"/>
          <w:szCs w:val="16"/>
        </w:rPr>
        <w:t xml:space="preserve"> </w:t>
      </w:r>
    </w:p>
    <w:p w14:paraId="424B2F63" w14:textId="77777777" w:rsidR="00062E43" w:rsidRDefault="00062E43"/>
    <w:sectPr w:rsidR="00062E43" w:rsidSect="0074615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79"/>
    <w:rsid w:val="00062E43"/>
    <w:rsid w:val="005E1CE7"/>
    <w:rsid w:val="005E41A4"/>
    <w:rsid w:val="0068609B"/>
    <w:rsid w:val="009D1979"/>
    <w:rsid w:val="00D7214F"/>
    <w:rsid w:val="00EE3100"/>
    <w:rsid w:val="00F5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B3B"/>
  <w15:chartTrackingRefBased/>
  <w15:docId w15:val="{3574D20A-4590-4245-9649-73B06042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9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197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Katharine</dc:creator>
  <cp:keywords/>
  <dc:description/>
  <cp:lastModifiedBy>Nicholson, Katharine</cp:lastModifiedBy>
  <cp:revision>2</cp:revision>
  <dcterms:created xsi:type="dcterms:W3CDTF">2021-12-09T10:09:00Z</dcterms:created>
  <dcterms:modified xsi:type="dcterms:W3CDTF">2021-12-09T10:09:00Z</dcterms:modified>
</cp:coreProperties>
</file>